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5A9D5">
      <w:pPr>
        <w:spacing w:line="560" w:lineRule="exact"/>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附件5：</w:t>
      </w:r>
    </w:p>
    <w:p w14:paraId="2D185A2B">
      <w:pPr>
        <w:spacing w:line="600" w:lineRule="exact"/>
        <w:jc w:val="center"/>
        <w:rPr>
          <w:rFonts w:ascii="方正小标宋_GBK" w:hAnsi="方正小标宋_GBK" w:eastAsia="方正小标宋_GBK" w:cs="方正小标宋_GBK"/>
          <w:sz w:val="44"/>
          <w:szCs w:val="44"/>
        </w:rPr>
      </w:pPr>
    </w:p>
    <w:p w14:paraId="702AE7F4">
      <w:pPr>
        <w:spacing w:line="600" w:lineRule="exact"/>
        <w:jc w:val="center"/>
        <w:rPr>
          <w:rFonts w:ascii="方正小标宋_GBK" w:hAnsi="方正小标宋_GBK" w:eastAsia="方正小标宋_GBK" w:cs="方正小标宋_GBK"/>
          <w:sz w:val="44"/>
          <w:szCs w:val="44"/>
        </w:rPr>
      </w:pPr>
    </w:p>
    <w:p w14:paraId="6E665B6B">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西彭镇华丈寺一体化污水处理设施</w:t>
      </w:r>
    </w:p>
    <w:p w14:paraId="1F7CC7C1">
      <w:pPr>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运营承包管理</w:t>
      </w:r>
      <w:r>
        <w:rPr>
          <w:rFonts w:hint="eastAsia" w:ascii="方正小标宋_GBK" w:hAnsi="方正小标宋_GBK" w:eastAsia="方正小标宋_GBK" w:cs="方正小标宋_GBK"/>
          <w:sz w:val="44"/>
          <w:szCs w:val="44"/>
          <w:lang w:val="en-US" w:eastAsia="zh-CN"/>
        </w:rPr>
        <w:t>合同</w:t>
      </w:r>
    </w:p>
    <w:p w14:paraId="38DFA431">
      <w:pPr>
        <w:spacing w:line="600" w:lineRule="exact"/>
        <w:jc w:val="center"/>
        <w:rPr>
          <w:rFonts w:ascii="方正小标宋_GBK" w:hAnsi="方正小标宋_GBK" w:eastAsia="方正小标宋_GBK" w:cs="方正小标宋_GBK"/>
          <w:sz w:val="44"/>
          <w:szCs w:val="44"/>
        </w:rPr>
      </w:pPr>
    </w:p>
    <w:p w14:paraId="20DBE5CA">
      <w:pPr>
        <w:pStyle w:val="3"/>
        <w:rPr>
          <w:b/>
          <w:bCs/>
          <w:sz w:val="48"/>
          <w:szCs w:val="48"/>
        </w:rPr>
      </w:pPr>
    </w:p>
    <w:p w14:paraId="72C523C0">
      <w:pPr>
        <w:rPr>
          <w:b/>
          <w:bCs/>
          <w:sz w:val="48"/>
          <w:szCs w:val="48"/>
        </w:rPr>
      </w:pPr>
    </w:p>
    <w:p w14:paraId="411075E0">
      <w:pPr>
        <w:pStyle w:val="3"/>
      </w:pPr>
    </w:p>
    <w:p w14:paraId="7F71AC76">
      <w:pPr>
        <w:spacing w:line="600" w:lineRule="exact"/>
        <w:ind w:left="1844" w:leftChars="585" w:hanging="616" w:hangingChars="200"/>
        <w:rPr>
          <w:rFonts w:hint="eastAsia" w:ascii="方正楷体_GBK" w:hAnsi="方正楷体_GBK" w:eastAsia="方正楷体_GBK" w:cs="方正楷体_GBK"/>
          <w:spacing w:val="-6"/>
          <w:sz w:val="32"/>
          <w:szCs w:val="32"/>
        </w:rPr>
      </w:pPr>
      <w:r>
        <w:rPr>
          <w:rFonts w:hint="eastAsia" w:ascii="方正黑体_GBK" w:hAnsi="方正黑体_GBK" w:eastAsia="方正黑体_GBK" w:cs="方正黑体_GBK"/>
          <w:spacing w:val="-6"/>
          <w:sz w:val="32"/>
          <w:szCs w:val="32"/>
        </w:rPr>
        <w:t>项目业主（甲方）：</w:t>
      </w:r>
    </w:p>
    <w:p w14:paraId="6089E78C">
      <w:pPr>
        <w:spacing w:line="600" w:lineRule="exact"/>
        <w:ind w:left="1848" w:hanging="1848" w:hangingChars="600"/>
        <w:rPr>
          <w:rFonts w:ascii="方正黑体_GBK" w:hAnsi="方正黑体_GBK" w:eastAsia="方正黑体_GBK" w:cs="方正黑体_GBK"/>
          <w:spacing w:val="-6"/>
          <w:sz w:val="32"/>
          <w:szCs w:val="32"/>
        </w:rPr>
      </w:pPr>
    </w:p>
    <w:p w14:paraId="36D42851">
      <w:pPr>
        <w:pStyle w:val="10"/>
      </w:pPr>
    </w:p>
    <w:p w14:paraId="0A6D662E">
      <w:pPr>
        <w:spacing w:line="600" w:lineRule="exact"/>
        <w:ind w:left="1844" w:leftChars="585" w:hanging="616" w:hangingChars="200"/>
        <w:rPr>
          <w:rFonts w:ascii="方正仿宋_GBK" w:hAnsi="方正仿宋_GBK" w:eastAsia="方正仿宋_GBK" w:cs="方正仿宋_GBK"/>
          <w:spacing w:val="-6"/>
          <w:sz w:val="32"/>
          <w:szCs w:val="32"/>
        </w:rPr>
      </w:pPr>
      <w:r>
        <w:rPr>
          <w:rFonts w:hint="eastAsia" w:ascii="方正黑体_GBK" w:hAnsi="方正黑体_GBK" w:eastAsia="方正黑体_GBK" w:cs="方正黑体_GBK"/>
          <w:spacing w:val="-6"/>
          <w:sz w:val="32"/>
          <w:szCs w:val="32"/>
        </w:rPr>
        <w:t>服务单位（乙方）：</w:t>
      </w:r>
    </w:p>
    <w:p w14:paraId="6E56271E">
      <w:pPr>
        <w:spacing w:line="600" w:lineRule="exact"/>
        <w:ind w:left="1848" w:hanging="1848" w:hangingChars="600"/>
        <w:rPr>
          <w:rFonts w:ascii="方正黑体_GBK" w:hAnsi="方正黑体_GBK" w:eastAsia="方正黑体_GBK" w:cs="方正黑体_GBK"/>
          <w:spacing w:val="-6"/>
          <w:sz w:val="32"/>
          <w:szCs w:val="32"/>
        </w:rPr>
      </w:pPr>
    </w:p>
    <w:p w14:paraId="604211E9">
      <w:pPr>
        <w:pStyle w:val="10"/>
      </w:pPr>
    </w:p>
    <w:p w14:paraId="611FE572">
      <w:pPr>
        <w:spacing w:line="600" w:lineRule="exact"/>
        <w:ind w:left="1844" w:leftChars="585" w:hanging="616" w:hangingChars="200"/>
        <w:rPr>
          <w:rFonts w:ascii="方正仿宋_GBK" w:hAnsi="方正仿宋_GBK" w:eastAsia="方正仿宋_GBK" w:cs="方正仿宋_GBK"/>
          <w:spacing w:val="-6"/>
          <w:sz w:val="32"/>
          <w:szCs w:val="32"/>
        </w:rPr>
      </w:pPr>
    </w:p>
    <w:p w14:paraId="6324A3CC">
      <w:pPr>
        <w:spacing w:line="600" w:lineRule="exact"/>
        <w:ind w:left="1848" w:hanging="1848" w:hangingChars="600"/>
        <w:rPr>
          <w:rFonts w:ascii="方正黑体_GBK" w:hAnsi="方正黑体_GBK" w:eastAsia="方正黑体_GBK" w:cs="方正黑体_GBK"/>
          <w:spacing w:val="-6"/>
          <w:sz w:val="32"/>
          <w:szCs w:val="32"/>
        </w:rPr>
      </w:pPr>
    </w:p>
    <w:p w14:paraId="3F6CB689">
      <w:pPr>
        <w:spacing w:line="600" w:lineRule="exact"/>
        <w:ind w:left="1848" w:hanging="1848" w:hangingChars="600"/>
        <w:rPr>
          <w:rFonts w:ascii="方正黑体_GBK" w:hAnsi="方正黑体_GBK" w:eastAsia="方正黑体_GBK" w:cs="方正黑体_GBK"/>
          <w:spacing w:val="-6"/>
          <w:sz w:val="32"/>
          <w:szCs w:val="32"/>
        </w:rPr>
      </w:pPr>
    </w:p>
    <w:p w14:paraId="38FF6BEF">
      <w:pPr>
        <w:pStyle w:val="10"/>
      </w:pPr>
    </w:p>
    <w:p w14:paraId="67D591F8">
      <w:pPr>
        <w:spacing w:line="600" w:lineRule="exact"/>
        <w:ind w:firstLine="1232" w:firstLineChars="400"/>
        <w:rPr>
          <w:rFonts w:hint="default" w:ascii="Times New Roman" w:hAnsi="Times New Roman" w:eastAsia="方正黑体_GBK" w:cs="Times New Roman"/>
          <w:spacing w:val="-6"/>
          <w:sz w:val="32"/>
          <w:szCs w:val="32"/>
        </w:rPr>
        <w:sectPr>
          <w:headerReference r:id="rId3" w:type="default"/>
          <w:footerReference r:id="rId4" w:type="default"/>
          <w:footerReference r:id="rId5" w:type="even"/>
          <w:pgSz w:w="11906" w:h="16838"/>
          <w:pgMar w:top="2098" w:right="1531" w:bottom="1984" w:left="1531" w:header="851" w:footer="992" w:gutter="0"/>
          <w:pgBorders>
            <w:top w:val="none" w:sz="0" w:space="0"/>
            <w:left w:val="none" w:sz="0" w:space="0"/>
            <w:bottom w:val="none" w:sz="0" w:space="0"/>
            <w:right w:val="none" w:sz="0" w:space="0"/>
          </w:pgBorders>
          <w:cols w:space="0" w:num="1"/>
          <w:docGrid w:type="lines" w:linePitch="312" w:charSpace="0"/>
        </w:sectPr>
      </w:pPr>
      <w:r>
        <w:rPr>
          <w:rFonts w:hint="default" w:ascii="Times New Roman" w:hAnsi="Times New Roman" w:eastAsia="方正黑体_GBK" w:cs="Times New Roman"/>
          <w:spacing w:val="-6"/>
          <w:sz w:val="32"/>
          <w:szCs w:val="32"/>
        </w:rPr>
        <w:t>签订日期：</w:t>
      </w:r>
      <w:r>
        <w:rPr>
          <w:rFonts w:hint="eastAsia" w:ascii="Times New Roman" w:hAnsi="Times New Roman" w:eastAsia="方正黑体_GBK" w:cs="Times New Roman"/>
          <w:spacing w:val="-6"/>
          <w:sz w:val="32"/>
          <w:szCs w:val="32"/>
          <w:lang w:val="en-US" w:eastAsia="zh-CN"/>
        </w:rPr>
        <w:t xml:space="preserve">  </w:t>
      </w:r>
      <w:r>
        <w:rPr>
          <w:rFonts w:hint="default" w:ascii="Times New Roman" w:hAnsi="Times New Roman" w:eastAsia="方正黑体_GBK" w:cs="Times New Roman"/>
          <w:spacing w:val="-6"/>
          <w:sz w:val="32"/>
          <w:szCs w:val="32"/>
        </w:rPr>
        <w:t>年    月    日</w:t>
      </w:r>
    </w:p>
    <w:p w14:paraId="4D3FF0F3">
      <w:pPr>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项目业主（甲方）：</w:t>
      </w:r>
    </w:p>
    <w:p w14:paraId="5E3C8F6D">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服务单位（乙方）：</w:t>
      </w:r>
    </w:p>
    <w:p w14:paraId="771855E0">
      <w:pPr>
        <w:spacing w:line="600" w:lineRule="exact"/>
        <w:ind w:firstLine="640" w:firstLineChars="200"/>
        <w:jc w:val="left"/>
        <w:rPr>
          <w:rFonts w:hint="eastAsia" w:ascii="方正仿宋_GBK" w:eastAsia="方正仿宋_GBK"/>
          <w:sz w:val="32"/>
          <w:szCs w:val="32"/>
        </w:rPr>
      </w:pPr>
    </w:p>
    <w:p w14:paraId="41719EC1">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根据《中国人民共和国民法典》及相关法律法规，</w:t>
      </w:r>
      <w:r>
        <w:rPr>
          <w:rFonts w:hint="eastAsia" w:ascii="方正仿宋_GBK" w:eastAsia="方正仿宋_GBK"/>
          <w:sz w:val="32"/>
          <w:szCs w:val="32"/>
          <w:lang w:val="en-US" w:eastAsia="zh-CN"/>
        </w:rPr>
        <w:t>双</w:t>
      </w:r>
      <w:r>
        <w:rPr>
          <w:rFonts w:hint="eastAsia" w:ascii="方正仿宋_GBK" w:eastAsia="方正仿宋_GBK"/>
          <w:sz w:val="32"/>
          <w:szCs w:val="32"/>
        </w:rPr>
        <w:t>方本着自愿、平等、顺畅合作的经营原则，经充分协商，就西彭镇华丈寺一体化污水处理设施运营承包管理项目，制定本</w:t>
      </w:r>
      <w:r>
        <w:rPr>
          <w:rFonts w:hint="eastAsia" w:ascii="方正仿宋_GBK" w:eastAsia="方正仿宋_GBK"/>
          <w:sz w:val="32"/>
          <w:szCs w:val="32"/>
          <w:lang w:val="en-US" w:eastAsia="zh-CN"/>
        </w:rPr>
        <w:t>合同</w:t>
      </w:r>
      <w:r>
        <w:rPr>
          <w:rFonts w:hint="eastAsia" w:ascii="方正仿宋_GBK" w:eastAsia="方正仿宋_GBK"/>
          <w:sz w:val="32"/>
          <w:szCs w:val="32"/>
        </w:rPr>
        <w:t>：</w:t>
      </w:r>
    </w:p>
    <w:p w14:paraId="00FED277">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ascii="方正黑体_GBK" w:hAnsi="方正黑体_GBK" w:eastAsia="方正黑体_GBK"/>
          <w:sz w:val="32"/>
          <w:szCs w:val="32"/>
        </w:rPr>
      </w:pPr>
      <w:r>
        <w:rPr>
          <w:rFonts w:hint="eastAsia" w:ascii="方正黑体_GBK" w:hAnsi="方正黑体_GBK" w:eastAsia="方正黑体_GBK" w:cs="方正黑体_GBK"/>
          <w:sz w:val="32"/>
          <w:szCs w:val="32"/>
        </w:rPr>
        <w:t>一、甲方委托</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方实施污水处理设施运营的内容</w:t>
      </w:r>
    </w:p>
    <w:p w14:paraId="50D2FF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甲方按照有关的法律法规文件将已建好的</w:t>
      </w:r>
      <w:r>
        <w:rPr>
          <w:rFonts w:hint="eastAsia" w:ascii="方正仿宋_GBK" w:hAnsi="方正仿宋_GBK" w:eastAsia="方正仿宋_GBK" w:cs="方正仿宋_GBK"/>
          <w:sz w:val="32"/>
          <w:szCs w:val="32"/>
        </w:rPr>
        <w:t>西彭镇华丈寺一体化污水处理设施整体</w:t>
      </w:r>
      <w:r>
        <w:rPr>
          <w:rFonts w:hint="eastAsia" w:ascii="方正仿宋_GBK" w:eastAsia="方正仿宋_GBK"/>
          <w:sz w:val="32"/>
          <w:szCs w:val="32"/>
        </w:rPr>
        <w:t>委托给乙方实行统一经营管理。</w:t>
      </w:r>
      <w:r>
        <w:rPr>
          <w:rFonts w:hint="eastAsia" w:ascii="方正仿宋_GBK" w:hAnsi="方正仿宋_GBK" w:eastAsia="方正仿宋_GBK" w:cs="方正仿宋_GBK"/>
          <w:sz w:val="32"/>
          <w:szCs w:val="32"/>
        </w:rPr>
        <w:t>西彭镇华丈寺一体化污水处理设施的资产所有权归甲方所有，</w:t>
      </w:r>
      <w:r>
        <w:rPr>
          <w:rFonts w:hint="eastAsia" w:ascii="方正仿宋_GBK" w:eastAsia="方正仿宋_GBK"/>
          <w:sz w:val="32"/>
          <w:szCs w:val="32"/>
        </w:rPr>
        <w:t>甲方不参与日常经营管理。乙方负责污水处理设施日常运营和维护，收取甲方污水处理服务费（排污企业/单位不再付给乙方排污费用）。</w:t>
      </w:r>
    </w:p>
    <w:p w14:paraId="18C67DE9">
      <w:pPr>
        <w:spacing w:line="600" w:lineRule="exact"/>
        <w:ind w:firstLine="627" w:firstLineChars="196"/>
        <w:outlineLvl w:val="0"/>
        <w:rPr>
          <w:rFonts w:ascii="方正黑体_GBK" w:hAnsi="方正黑体_GBK" w:eastAsia="方正黑体_GBK"/>
          <w:sz w:val="32"/>
          <w:szCs w:val="32"/>
        </w:rPr>
      </w:pPr>
      <w:r>
        <w:rPr>
          <w:rFonts w:hint="eastAsia" w:ascii="方正黑体_GBK" w:hAnsi="方正黑体_GBK" w:eastAsia="方正黑体_GBK" w:cs="方正黑体_GBK"/>
          <w:sz w:val="32"/>
          <w:szCs w:val="32"/>
        </w:rPr>
        <w:t>二、合同期限</w:t>
      </w:r>
    </w:p>
    <w:p w14:paraId="49D8EBD1">
      <w:pPr>
        <w:spacing w:line="600" w:lineRule="exact"/>
        <w:ind w:firstLine="640" w:firstLineChars="200"/>
        <w:rPr>
          <w:rFonts w:ascii="宋体"/>
          <w:sz w:val="32"/>
          <w:szCs w:val="32"/>
        </w:rPr>
      </w:pPr>
      <w:r>
        <w:rPr>
          <w:rFonts w:hint="eastAsia" w:ascii="方正仿宋_GBK" w:hAnsi="方正仿宋_GBK" w:eastAsia="方正仿宋_GBK" w:cs="方正仿宋_GBK"/>
          <w:sz w:val="32"/>
          <w:szCs w:val="32"/>
        </w:rPr>
        <w:t>甲方授予</w:t>
      </w:r>
      <w:r>
        <w:rPr>
          <w:rFonts w:hint="eastAsia" w:ascii="方正仿宋_GBK" w:eastAsia="方正仿宋_GBK"/>
          <w:sz w:val="32"/>
          <w:szCs w:val="32"/>
        </w:rPr>
        <w:t>乙</w:t>
      </w:r>
      <w:r>
        <w:rPr>
          <w:rFonts w:hint="eastAsia" w:ascii="方正仿宋_GBK" w:hAnsi="方正仿宋_GBK" w:eastAsia="方正仿宋_GBK" w:cs="方正仿宋_GBK"/>
          <w:sz w:val="32"/>
          <w:szCs w:val="32"/>
        </w:rPr>
        <w:t>方的委托运营承包期限：从</w:t>
      </w:r>
      <w:r>
        <w:rPr>
          <w:rFonts w:hint="eastAsia" w:ascii="方正仿宋_GBK" w:hAnsi="方正仿宋_GBK" w:eastAsia="方正仿宋_GBK" w:cs="方正仿宋_GBK"/>
          <w:sz w:val="32"/>
          <w:szCs w:val="32"/>
          <w:u w:val="single"/>
          <w:lang w:val="en-US" w:eastAsia="zh-CN"/>
        </w:rPr>
        <w:t xml:space="preserve">    </w:t>
      </w:r>
      <w:r>
        <w:rPr>
          <w:rFonts w:hint="eastAsia" w:eastAsia="方正仿宋_GBK"/>
          <w:sz w:val="32"/>
          <w:szCs w:val="32"/>
        </w:rPr>
        <w:t>年</w:t>
      </w:r>
      <w:r>
        <w:rPr>
          <w:rFonts w:hint="eastAsia" w:ascii="方正仿宋_GBK" w:hAnsi="方正仿宋_GBK" w:eastAsia="方正仿宋_GBK" w:cs="方正仿宋_GBK"/>
          <w:sz w:val="32"/>
          <w:szCs w:val="32"/>
          <w:u w:val="single"/>
          <w:lang w:val="en-US" w:eastAsia="zh-CN"/>
        </w:rPr>
        <w:t xml:space="preserve">    </w:t>
      </w:r>
      <w:r>
        <w:rPr>
          <w:rFonts w:hint="eastAsia" w:eastAsia="方正仿宋_GBK"/>
          <w:sz w:val="32"/>
          <w:szCs w:val="32"/>
        </w:rPr>
        <w:t>月</w:t>
      </w:r>
      <w:r>
        <w:rPr>
          <w:rFonts w:hint="eastAsia" w:ascii="方正仿宋_GBK" w:hAnsi="方正仿宋_GBK" w:eastAsia="方正仿宋_GBK" w:cs="方正仿宋_GBK"/>
          <w:sz w:val="32"/>
          <w:szCs w:val="32"/>
          <w:u w:val="single"/>
          <w:lang w:val="en-US" w:eastAsia="zh-CN"/>
        </w:rPr>
        <w:t xml:space="preserve">    </w:t>
      </w:r>
      <w:r>
        <w:rPr>
          <w:rFonts w:hint="eastAsia" w:eastAsia="方正仿宋_GBK"/>
          <w:sz w:val="32"/>
          <w:szCs w:val="32"/>
        </w:rPr>
        <w:t>日至</w:t>
      </w:r>
      <w:r>
        <w:rPr>
          <w:rFonts w:hint="eastAsia" w:ascii="方正仿宋_GBK" w:hAnsi="方正仿宋_GBK" w:eastAsia="方正仿宋_GBK" w:cs="方正仿宋_GBK"/>
          <w:sz w:val="32"/>
          <w:szCs w:val="32"/>
          <w:u w:val="single"/>
          <w:lang w:val="en-US" w:eastAsia="zh-CN"/>
        </w:rPr>
        <w:t xml:space="preserve">    </w:t>
      </w:r>
      <w:r>
        <w:rPr>
          <w:rFonts w:hint="eastAsia" w:eastAsia="方正仿宋_GBK"/>
          <w:sz w:val="32"/>
          <w:szCs w:val="32"/>
        </w:rPr>
        <w:t>年</w:t>
      </w:r>
      <w:r>
        <w:rPr>
          <w:rFonts w:hint="eastAsia" w:ascii="方正仿宋_GBK" w:hAnsi="方正仿宋_GBK" w:eastAsia="方正仿宋_GBK" w:cs="方正仿宋_GBK"/>
          <w:sz w:val="32"/>
          <w:szCs w:val="32"/>
          <w:u w:val="single"/>
          <w:lang w:val="en-US" w:eastAsia="zh-CN"/>
        </w:rPr>
        <w:t xml:space="preserve">    </w:t>
      </w:r>
      <w:r>
        <w:rPr>
          <w:rFonts w:hint="eastAsia" w:eastAsia="方正仿宋_GBK"/>
          <w:sz w:val="32"/>
          <w:szCs w:val="32"/>
        </w:rPr>
        <w:t>月</w:t>
      </w:r>
      <w:r>
        <w:rPr>
          <w:rFonts w:hint="eastAsia" w:ascii="方正仿宋_GBK" w:hAnsi="方正仿宋_GBK" w:eastAsia="方正仿宋_GBK" w:cs="方正仿宋_GBK"/>
          <w:sz w:val="32"/>
          <w:szCs w:val="32"/>
          <w:u w:val="single"/>
          <w:lang w:val="en-US" w:eastAsia="zh-CN"/>
        </w:rPr>
        <w:t xml:space="preserve">    </w:t>
      </w:r>
      <w:r>
        <w:rPr>
          <w:rFonts w:hint="eastAsia" w:eastAsia="方正仿宋_GBK"/>
          <w:sz w:val="32"/>
          <w:szCs w:val="32"/>
        </w:rPr>
        <w:t>日</w:t>
      </w:r>
      <w:r>
        <w:rPr>
          <w:rFonts w:hint="eastAsia" w:ascii="方正仿宋_GBK" w:hAnsi="方正仿宋_GBK" w:eastAsia="方正仿宋_GBK" w:cs="方正仿宋_GBK"/>
          <w:sz w:val="32"/>
          <w:szCs w:val="32"/>
        </w:rPr>
        <w:t>。</w:t>
      </w:r>
    </w:p>
    <w:p w14:paraId="1A29F374">
      <w:pPr>
        <w:spacing w:line="600" w:lineRule="exact"/>
        <w:ind w:firstLine="627" w:firstLineChars="196"/>
        <w:outlineLvl w:val="0"/>
        <w:rPr>
          <w:rFonts w:ascii="方正黑体_GBK" w:hAnsi="方正黑体_GBK" w:eastAsia="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val="en-US" w:eastAsia="zh-CN"/>
        </w:rPr>
        <w:t>双</w:t>
      </w:r>
      <w:r>
        <w:rPr>
          <w:rFonts w:hint="eastAsia" w:ascii="方正黑体_GBK" w:hAnsi="方正黑体_GBK" w:eastAsia="方正黑体_GBK" w:cs="方正黑体_GBK"/>
          <w:sz w:val="32"/>
          <w:szCs w:val="32"/>
        </w:rPr>
        <w:t>方的基本权利、义务和责任</w:t>
      </w:r>
    </w:p>
    <w:p w14:paraId="33D19DF5">
      <w:pPr>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甲方的权利、义务、责任：</w:t>
      </w:r>
    </w:p>
    <w:p w14:paraId="4EAC933C">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（1）甲方应提供和本项目有关的专有技术、图书资料和相关文件等，以便于</w:t>
      </w:r>
      <w:r>
        <w:rPr>
          <w:rFonts w:hint="eastAsia" w:ascii="方正仿宋_GBK" w:eastAsia="方正仿宋_GBK"/>
          <w:sz w:val="32"/>
          <w:szCs w:val="32"/>
        </w:rPr>
        <w:t>乙</w:t>
      </w:r>
      <w:r>
        <w:rPr>
          <w:rFonts w:hint="default" w:ascii="Times New Roman" w:hAnsi="Times New Roman" w:eastAsia="方正仿宋_GBK" w:cs="Times New Roman"/>
          <w:sz w:val="32"/>
          <w:szCs w:val="32"/>
        </w:rPr>
        <w:t>方运行经营。</w:t>
      </w:r>
    </w:p>
    <w:p w14:paraId="4A68A582">
      <w:pPr>
        <w:tabs>
          <w:tab w:val="left" w:pos="851"/>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（2）在合同有效期内授予</w:t>
      </w:r>
      <w:r>
        <w:rPr>
          <w:rFonts w:hint="eastAsia" w:ascii="方正仿宋_GBK" w:eastAsia="方正仿宋_GBK"/>
          <w:sz w:val="32"/>
          <w:szCs w:val="32"/>
        </w:rPr>
        <w:t>乙</w:t>
      </w:r>
      <w:r>
        <w:rPr>
          <w:rFonts w:hint="default" w:ascii="Times New Roman" w:hAnsi="Times New Roman" w:eastAsia="方正仿宋_GBK" w:cs="Times New Roman"/>
          <w:sz w:val="32"/>
          <w:szCs w:val="32"/>
        </w:rPr>
        <w:t>方独有的经营权。</w:t>
      </w:r>
    </w:p>
    <w:p w14:paraId="7915869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（3）根据协议的规定按时向</w:t>
      </w:r>
      <w:r>
        <w:rPr>
          <w:rFonts w:hint="eastAsia" w:ascii="方正仿宋_GBK" w:eastAsia="方正仿宋_GBK"/>
          <w:sz w:val="32"/>
          <w:szCs w:val="32"/>
        </w:rPr>
        <w:t>乙</w:t>
      </w:r>
      <w:r>
        <w:rPr>
          <w:rFonts w:hint="default" w:ascii="Times New Roman" w:hAnsi="Times New Roman" w:eastAsia="方正仿宋_GBK" w:cs="Times New Roman"/>
          <w:sz w:val="32"/>
          <w:szCs w:val="32"/>
        </w:rPr>
        <w:t>方及时支付污水处理服务费。</w:t>
      </w:r>
    </w:p>
    <w:p w14:paraId="383C7CDD">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（4）办理有关政府部门要求的各种与本项目运行有关的批准和相关资质并保持其有效，</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方应积极协助。</w:t>
      </w:r>
    </w:p>
    <w:p w14:paraId="59D3EBC6">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w:t>
      </w:r>
      <w:r>
        <w:rPr>
          <w:rFonts w:hint="eastAsia" w:ascii="方正仿宋_GBK" w:eastAsia="方正仿宋_GBK"/>
          <w:sz w:val="32"/>
          <w:szCs w:val="32"/>
        </w:rPr>
        <w:t>乙</w:t>
      </w:r>
      <w:r>
        <w:rPr>
          <w:rFonts w:hint="default" w:ascii="Times New Roman" w:hAnsi="Times New Roman" w:eastAsia="方正仿宋_GBK" w:cs="Times New Roman"/>
          <w:sz w:val="32"/>
          <w:szCs w:val="32"/>
        </w:rPr>
        <w:t>方污水处理经营过程中实施监管，包括产品和服务质量，项目经营状况和安全防范措施，以及协助相关部门核算和监控企业成本。</w:t>
      </w:r>
    </w:p>
    <w:p w14:paraId="2D41F7AA">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（6）甲方本着尊重社会公众的知情权，鼓励公众参与监督的原则，有权及时将产品和服务质量检查、监测、评估结果和整改情况以合适的方式向社会公布，受理公众向</w:t>
      </w:r>
      <w:r>
        <w:rPr>
          <w:rFonts w:hint="eastAsia" w:ascii="方正仿宋_GBK" w:eastAsia="方正仿宋_GBK"/>
          <w:sz w:val="32"/>
          <w:szCs w:val="32"/>
        </w:rPr>
        <w:t>乙</w:t>
      </w:r>
      <w:r>
        <w:rPr>
          <w:rFonts w:hint="default" w:ascii="Times New Roman" w:hAnsi="Times New Roman" w:eastAsia="方正仿宋_GBK" w:cs="Times New Roman"/>
          <w:sz w:val="32"/>
          <w:szCs w:val="32"/>
        </w:rPr>
        <w:t>方的投诉，并进行核实处理。</w:t>
      </w:r>
    </w:p>
    <w:p w14:paraId="2098A4B6">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（7）遇紧急情况，在可能严重影响公众利益的情况下，经有关部门批准，可依法对</w:t>
      </w:r>
      <w:r>
        <w:rPr>
          <w:rFonts w:hint="eastAsia" w:ascii="方正仿宋_GBK" w:eastAsia="方正仿宋_GBK"/>
          <w:sz w:val="32"/>
          <w:szCs w:val="32"/>
        </w:rPr>
        <w:t>乙</w:t>
      </w:r>
      <w:r>
        <w:rPr>
          <w:rFonts w:hint="default" w:ascii="Times New Roman" w:hAnsi="Times New Roman" w:eastAsia="方正仿宋_GBK" w:cs="Times New Roman"/>
          <w:sz w:val="32"/>
          <w:szCs w:val="32"/>
        </w:rPr>
        <w:t>方进行临时接管，但紧急情况消失之日起三十日内将经营管理权交给</w:t>
      </w:r>
      <w:r>
        <w:rPr>
          <w:rFonts w:hint="eastAsia" w:ascii="方正仿宋_GBK" w:eastAsia="方正仿宋_GBK"/>
          <w:sz w:val="32"/>
          <w:szCs w:val="32"/>
        </w:rPr>
        <w:t>乙</w:t>
      </w:r>
      <w:r>
        <w:rPr>
          <w:rFonts w:hint="default" w:ascii="Times New Roman" w:hAnsi="Times New Roman" w:eastAsia="方正仿宋_GBK" w:cs="Times New Roman"/>
          <w:sz w:val="32"/>
          <w:szCs w:val="32"/>
        </w:rPr>
        <w:t>方。</w:t>
      </w:r>
    </w:p>
    <w:p w14:paraId="57CB2038">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（8）不得干预污水处理项目内部管理事务，除非本</w:t>
      </w:r>
      <w:r>
        <w:rPr>
          <w:rFonts w:hint="eastAsia" w:eastAsia="方正仿宋_GBK" w:cs="Times New Roman"/>
          <w:sz w:val="32"/>
          <w:szCs w:val="32"/>
          <w:lang w:val="en-US" w:eastAsia="zh-CN"/>
        </w:rPr>
        <w:t>合同</w:t>
      </w:r>
      <w:r>
        <w:rPr>
          <w:rFonts w:hint="default" w:ascii="Times New Roman" w:hAnsi="Times New Roman" w:eastAsia="方正仿宋_GBK" w:cs="Times New Roman"/>
          <w:sz w:val="32"/>
          <w:szCs w:val="32"/>
        </w:rPr>
        <w:t>条款的执行受到影响。</w:t>
      </w:r>
    </w:p>
    <w:p w14:paraId="0203052E">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（9）甲方承担因不可抗力因素引发的非</w:t>
      </w:r>
      <w:r>
        <w:rPr>
          <w:rFonts w:hint="eastAsia" w:ascii="方正仿宋_GBK" w:eastAsia="方正仿宋_GBK"/>
          <w:sz w:val="32"/>
          <w:szCs w:val="32"/>
        </w:rPr>
        <w:t>乙</w:t>
      </w:r>
      <w:r>
        <w:rPr>
          <w:rFonts w:hint="default" w:ascii="Times New Roman" w:hAnsi="Times New Roman" w:eastAsia="方正仿宋_GBK" w:cs="Times New Roman"/>
          <w:sz w:val="32"/>
          <w:szCs w:val="32"/>
        </w:rPr>
        <w:t>方管理而造成的设备、设施损失。</w:t>
      </w:r>
    </w:p>
    <w:p w14:paraId="4FF4F49A">
      <w:pPr>
        <w:tabs>
          <w:tab w:val="left" w:pos="851"/>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（10）甲方应保证移交前污水处理设施内的水、电、通信的正常接入。</w:t>
      </w:r>
    </w:p>
    <w:p w14:paraId="4C5AA9BB">
      <w:pPr>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eastAsia" w:ascii="方正仿宋_GBK" w:eastAsia="方正仿宋_GBK"/>
          <w:sz w:val="32"/>
          <w:szCs w:val="32"/>
        </w:rPr>
        <w:t>乙</w:t>
      </w:r>
      <w:r>
        <w:rPr>
          <w:rFonts w:hint="default" w:ascii="Times New Roman" w:hAnsi="Times New Roman" w:eastAsia="方正仿宋_GBK" w:cs="Times New Roman"/>
          <w:sz w:val="32"/>
          <w:szCs w:val="32"/>
        </w:rPr>
        <w:t>方的权利、义务、责任：</w:t>
      </w:r>
    </w:p>
    <w:p w14:paraId="5BDA1C7A">
      <w:pPr>
        <w:tabs>
          <w:tab w:val="left" w:pos="567"/>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方正仿宋_GBK" w:eastAsia="方正仿宋_GBK"/>
          <w:sz w:val="32"/>
          <w:szCs w:val="32"/>
        </w:rPr>
        <w:t>乙</w:t>
      </w:r>
      <w:r>
        <w:rPr>
          <w:rFonts w:hint="default" w:ascii="Times New Roman" w:hAnsi="Times New Roman" w:eastAsia="方正仿宋_GBK" w:cs="Times New Roman"/>
          <w:sz w:val="32"/>
          <w:szCs w:val="32"/>
        </w:rPr>
        <w:t>方享有特许经营权，自主经营，自负盈亏。</w:t>
      </w:r>
    </w:p>
    <w:p w14:paraId="5897CB3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（2）在委托运营期内，接受甲方或上级主管部门的监督、检查和指导，完成市、区迎检任务和完成甲方交办的突击性任务。</w:t>
      </w:r>
    </w:p>
    <w:p w14:paraId="47B15A96">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方正仿宋_GBK" w:eastAsia="方正仿宋_GBK"/>
          <w:sz w:val="32"/>
          <w:szCs w:val="32"/>
        </w:rPr>
        <w:t>乙</w:t>
      </w:r>
      <w:r>
        <w:rPr>
          <w:rFonts w:hint="default" w:ascii="Times New Roman" w:hAnsi="Times New Roman" w:eastAsia="方正仿宋_GBK" w:cs="Times New Roman"/>
          <w:sz w:val="32"/>
          <w:szCs w:val="32"/>
        </w:rPr>
        <w:t>方负责项目设施（包括构筑物）的管理、运行、维修，保证所有接入污水（非超标污水和未超过设计流量污水）全部经过处理，排放的出水符合《城镇污水处理厂污染物排放标准》中的一级B标准。</w:t>
      </w:r>
    </w:p>
    <w:p w14:paraId="49D2C8D8">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（4）在委托运营期内，如遇进水超标情况，</w:t>
      </w:r>
      <w:r>
        <w:rPr>
          <w:rFonts w:hint="eastAsia" w:ascii="方正仿宋_GBK" w:eastAsia="方正仿宋_GBK"/>
          <w:sz w:val="32"/>
          <w:szCs w:val="32"/>
        </w:rPr>
        <w:t>乙</w:t>
      </w:r>
      <w:r>
        <w:rPr>
          <w:rFonts w:hint="default" w:ascii="Times New Roman" w:hAnsi="Times New Roman" w:eastAsia="方正仿宋_GBK" w:cs="Times New Roman"/>
          <w:sz w:val="32"/>
          <w:szCs w:val="32"/>
        </w:rPr>
        <w:t>方负责4小时以内将检测数据以书面的形式通知甲方并提出解决意见，同时启动应急预案。若因</w:t>
      </w:r>
      <w:r>
        <w:rPr>
          <w:rFonts w:hint="eastAsia" w:ascii="方正仿宋_GBK" w:eastAsia="方正仿宋_GBK"/>
          <w:sz w:val="32"/>
          <w:szCs w:val="32"/>
        </w:rPr>
        <w:t>乙</w:t>
      </w:r>
      <w:r>
        <w:rPr>
          <w:rFonts w:hint="default" w:ascii="Times New Roman" w:hAnsi="Times New Roman" w:eastAsia="方正仿宋_GBK" w:cs="Times New Roman"/>
          <w:sz w:val="32"/>
          <w:szCs w:val="32"/>
        </w:rPr>
        <w:t>方未及时上报或未采取相关应急措施导致出水超标的情况，由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方承担由此导致生化处理系统瘫痪的责任及相关费用。若进水长期超标，即使</w:t>
      </w:r>
      <w:r>
        <w:rPr>
          <w:rFonts w:hint="eastAsia" w:ascii="方正仿宋_GBK" w:eastAsia="方正仿宋_GBK"/>
          <w:sz w:val="32"/>
          <w:szCs w:val="32"/>
        </w:rPr>
        <w:t>乙</w:t>
      </w:r>
      <w:r>
        <w:rPr>
          <w:rFonts w:hint="default" w:ascii="Times New Roman" w:hAnsi="Times New Roman" w:eastAsia="方正仿宋_GBK" w:cs="Times New Roman"/>
          <w:sz w:val="32"/>
          <w:szCs w:val="32"/>
        </w:rPr>
        <w:t>方采取应急预案也无法处理达标，</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方应立即暂停进水并上报甲方及相关职能部门。</w:t>
      </w:r>
    </w:p>
    <w:p w14:paraId="741D89F9">
      <w:pPr>
        <w:tabs>
          <w:tab w:val="left" w:pos="426"/>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建立健全完善各项相关职能部门要求的运营管理规章制度，严格纪律，规范操作，作业人员须经培训合格，持《污废水处理工证》上岗。注重文明作业、安全操作，委托运营期间，非甲方原因发生任何安全及意外事故，一切责任及损失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方负责。</w:t>
      </w:r>
    </w:p>
    <w:p w14:paraId="0B0056F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方正仿宋_GBK" w:eastAsia="方正仿宋_GBK"/>
          <w:sz w:val="32"/>
          <w:szCs w:val="32"/>
        </w:rPr>
        <w:t>乙</w:t>
      </w:r>
      <w:r>
        <w:rPr>
          <w:rFonts w:hint="default" w:ascii="Times New Roman" w:hAnsi="Times New Roman" w:eastAsia="方正仿宋_GBK" w:cs="Times New Roman"/>
          <w:sz w:val="32"/>
          <w:szCs w:val="32"/>
        </w:rPr>
        <w:t>方在经营期内应合理安排规定的检修、保养和调试，并保证污水处理正常运行。如遇必须停运大修的情况，</w:t>
      </w:r>
      <w:r>
        <w:rPr>
          <w:rFonts w:hint="eastAsia" w:ascii="方正仿宋_GBK" w:eastAsia="方正仿宋_GBK"/>
          <w:sz w:val="32"/>
          <w:szCs w:val="32"/>
        </w:rPr>
        <w:t>乙</w:t>
      </w:r>
      <w:r>
        <w:rPr>
          <w:rFonts w:hint="default" w:ascii="Times New Roman" w:hAnsi="Times New Roman" w:eastAsia="方正仿宋_GBK" w:cs="Times New Roman"/>
          <w:sz w:val="32"/>
          <w:szCs w:val="32"/>
        </w:rPr>
        <w:t>方必须提前一周时间书面通知甲方（如遇突发性事故而必须停运大修的，</w:t>
      </w:r>
      <w:r>
        <w:rPr>
          <w:rFonts w:hint="eastAsia" w:ascii="方正仿宋_GBK" w:eastAsia="方正仿宋_GBK"/>
          <w:sz w:val="32"/>
          <w:szCs w:val="32"/>
        </w:rPr>
        <w:t>乙</w:t>
      </w:r>
      <w:r>
        <w:rPr>
          <w:rFonts w:hint="default" w:ascii="Times New Roman" w:hAnsi="Times New Roman" w:eastAsia="方正仿宋_GBK" w:cs="Times New Roman"/>
          <w:sz w:val="32"/>
          <w:szCs w:val="32"/>
        </w:rPr>
        <w:t>方须立即通知甲方），经甲方批准后开展大修。大修期间</w:t>
      </w:r>
      <w:r>
        <w:rPr>
          <w:rFonts w:hint="eastAsia" w:ascii="方正仿宋_GBK" w:eastAsia="方正仿宋_GBK"/>
          <w:sz w:val="32"/>
          <w:szCs w:val="32"/>
        </w:rPr>
        <w:t>乙</w:t>
      </w:r>
      <w:r>
        <w:rPr>
          <w:rFonts w:hint="default" w:ascii="Times New Roman" w:hAnsi="Times New Roman" w:eastAsia="方正仿宋_GBK" w:cs="Times New Roman"/>
          <w:sz w:val="32"/>
          <w:szCs w:val="32"/>
        </w:rPr>
        <w:t>方启动应急预案。因管理用房建筑、设施、设备质量或安装技术陈旧老化达不到使用功能等原因，</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方应及时以书面的形式告知甲方，如</w:t>
      </w:r>
      <w:r>
        <w:rPr>
          <w:rFonts w:hint="eastAsia" w:ascii="方正仿宋_GBK" w:eastAsia="方正仿宋_GBK"/>
          <w:sz w:val="32"/>
          <w:szCs w:val="32"/>
        </w:rPr>
        <w:t>乙</w:t>
      </w:r>
      <w:r>
        <w:rPr>
          <w:rFonts w:hint="default" w:ascii="Times New Roman" w:hAnsi="Times New Roman" w:eastAsia="方正仿宋_GBK" w:cs="Times New Roman"/>
          <w:sz w:val="32"/>
          <w:szCs w:val="32"/>
        </w:rPr>
        <w:t>方未告知甲方而发生了严重后果，</w:t>
      </w:r>
      <w:r>
        <w:rPr>
          <w:rFonts w:hint="eastAsia" w:ascii="方正仿宋_GBK" w:eastAsia="方正仿宋_GBK"/>
          <w:sz w:val="32"/>
          <w:szCs w:val="32"/>
        </w:rPr>
        <w:t>乙</w:t>
      </w:r>
      <w:r>
        <w:rPr>
          <w:rFonts w:hint="default" w:ascii="Times New Roman" w:hAnsi="Times New Roman" w:eastAsia="方正仿宋_GBK" w:cs="Times New Roman"/>
          <w:sz w:val="32"/>
          <w:szCs w:val="32"/>
        </w:rPr>
        <w:t>方承担相应的责任。</w:t>
      </w:r>
    </w:p>
    <w:p w14:paraId="62335352">
      <w:pPr>
        <w:tabs>
          <w:tab w:val="left" w:pos="567"/>
          <w:tab w:val="left" w:pos="709"/>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（7）在进水符合允许接纳水质标准的要求下，由于</w:t>
      </w:r>
      <w:r>
        <w:rPr>
          <w:rFonts w:hint="eastAsia" w:ascii="方正仿宋_GBK" w:eastAsia="方正仿宋_GBK"/>
          <w:sz w:val="32"/>
          <w:szCs w:val="32"/>
        </w:rPr>
        <w:t>乙</w:t>
      </w:r>
      <w:r>
        <w:rPr>
          <w:rFonts w:hint="default" w:ascii="Times New Roman" w:hAnsi="Times New Roman" w:eastAsia="方正仿宋_GBK" w:cs="Times New Roman"/>
          <w:sz w:val="32"/>
          <w:szCs w:val="32"/>
        </w:rPr>
        <w:t>方运行管理原因引起的出水水质不符合规定标准，经环境监测站或具备资质第三方监测，日平均出水水质有超标的，甲方按以下标准扣除该月超标天数的相应污水处理费：日平均出水水质单项指标超标在50%以内，甲方扣除该季度的污水处理费的100%，日平均出水水质单项指标超标在50%以上，甲方扣除应支付</w:t>
      </w:r>
      <w:r>
        <w:rPr>
          <w:rFonts w:hint="eastAsia" w:ascii="方正仿宋_GBK" w:eastAsia="方正仿宋_GBK"/>
          <w:sz w:val="32"/>
          <w:szCs w:val="32"/>
        </w:rPr>
        <w:t>乙</w:t>
      </w:r>
      <w:r>
        <w:rPr>
          <w:rFonts w:hint="default" w:ascii="Times New Roman" w:hAnsi="Times New Roman" w:eastAsia="方正仿宋_GBK" w:cs="Times New Roman"/>
          <w:sz w:val="32"/>
          <w:szCs w:val="32"/>
        </w:rPr>
        <w:t>方的该季度污水处理费的100%，同时</w:t>
      </w:r>
      <w:r>
        <w:rPr>
          <w:rFonts w:hint="eastAsia" w:ascii="方正仿宋_GBK" w:eastAsia="方正仿宋_GBK"/>
          <w:sz w:val="32"/>
          <w:szCs w:val="32"/>
        </w:rPr>
        <w:t>乙</w:t>
      </w:r>
      <w:r>
        <w:rPr>
          <w:rFonts w:hint="default" w:ascii="Times New Roman" w:hAnsi="Times New Roman" w:eastAsia="方正仿宋_GBK" w:cs="Times New Roman"/>
          <w:sz w:val="32"/>
          <w:szCs w:val="32"/>
        </w:rPr>
        <w:t>方还应向甲方支付与该季度污水处理费等额的违约金。甲方向</w:t>
      </w:r>
      <w:r>
        <w:rPr>
          <w:rFonts w:hint="eastAsia" w:ascii="方正仿宋_GBK" w:eastAsia="方正仿宋_GBK"/>
          <w:sz w:val="32"/>
          <w:szCs w:val="32"/>
        </w:rPr>
        <w:t>乙</w:t>
      </w:r>
      <w:r>
        <w:rPr>
          <w:rFonts w:hint="default" w:ascii="Times New Roman" w:hAnsi="Times New Roman" w:eastAsia="方正仿宋_GBK" w:cs="Times New Roman"/>
          <w:sz w:val="32"/>
          <w:szCs w:val="32"/>
        </w:rPr>
        <w:t>方发送整改通知书，限期进行整改。若连续两季度核实抽查到出水水质超标，合同自动解除，并赔偿甲方相应损失。</w:t>
      </w:r>
    </w:p>
    <w:p w14:paraId="111DB2E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r>
        <w:rPr>
          <w:rFonts w:hint="eastAsia" w:ascii="方正仿宋_GBK" w:eastAsia="方正仿宋_GBK"/>
          <w:sz w:val="32"/>
          <w:szCs w:val="32"/>
        </w:rPr>
        <w:t>乙</w:t>
      </w:r>
      <w:r>
        <w:rPr>
          <w:rFonts w:hint="default" w:ascii="Times New Roman" w:hAnsi="Times New Roman" w:eastAsia="方正仿宋_GBK" w:cs="Times New Roman"/>
          <w:sz w:val="32"/>
          <w:szCs w:val="32"/>
        </w:rPr>
        <w:t>方运行期间产生的栅渣、沉砂及污泥等固体废物须运往由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方按照相关规定确定的地点消纳。由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方负责相关费用。</w:t>
      </w:r>
    </w:p>
    <w:p w14:paraId="4693B8B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eastAsia" w:ascii="方正仿宋_GBK" w:eastAsia="方正仿宋_GBK"/>
          <w:sz w:val="32"/>
          <w:szCs w:val="32"/>
        </w:rPr>
        <w:t>乙</w:t>
      </w:r>
      <w:r>
        <w:rPr>
          <w:rFonts w:hint="default" w:ascii="Times New Roman" w:hAnsi="Times New Roman" w:eastAsia="方正仿宋_GBK" w:cs="Times New Roman"/>
          <w:sz w:val="32"/>
          <w:szCs w:val="32"/>
        </w:rPr>
        <w:t>方自行采购因自身管理所需的污水设施的办公设备、检测仪器及化验设备，保证运营期的办公及工作、生活条件。</w:t>
      </w:r>
    </w:p>
    <w:p w14:paraId="5F52DDEC">
      <w:pPr>
        <w:tabs>
          <w:tab w:val="left" w:pos="567"/>
          <w:tab w:val="left" w:pos="709"/>
        </w:tabs>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r>
        <w:rPr>
          <w:rFonts w:hint="eastAsia" w:ascii="方正仿宋_GBK" w:eastAsia="方正仿宋_GBK"/>
          <w:sz w:val="32"/>
          <w:szCs w:val="32"/>
        </w:rPr>
        <w:t>乙</w:t>
      </w:r>
      <w:r>
        <w:rPr>
          <w:rFonts w:hint="default" w:ascii="Times New Roman" w:hAnsi="Times New Roman" w:eastAsia="方正仿宋_GBK" w:cs="Times New Roman"/>
          <w:sz w:val="32"/>
          <w:szCs w:val="32"/>
        </w:rPr>
        <w:t>方作业人员按环保相关部门的要求每日（每月）填报污水处理厂相关处理数据，由于</w:t>
      </w:r>
      <w:r>
        <w:rPr>
          <w:rFonts w:hint="eastAsia" w:ascii="方正仿宋_GBK" w:eastAsia="方正仿宋_GBK"/>
          <w:sz w:val="32"/>
          <w:szCs w:val="32"/>
        </w:rPr>
        <w:t>乙</w:t>
      </w:r>
      <w:r>
        <w:rPr>
          <w:rFonts w:hint="default" w:ascii="Times New Roman" w:hAnsi="Times New Roman" w:eastAsia="方正仿宋_GBK" w:cs="Times New Roman"/>
          <w:sz w:val="32"/>
          <w:szCs w:val="32"/>
        </w:rPr>
        <w:t>方工作人员数据填报未及时造成甲方被相关部门通报或处罚，责任由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方承担，甲方扣除该月的污水处理费的100%；若一个月内连续两次甲方因</w:t>
      </w:r>
      <w:r>
        <w:rPr>
          <w:rFonts w:hint="eastAsia" w:ascii="方正仿宋_GBK" w:eastAsia="方正仿宋_GBK"/>
          <w:sz w:val="32"/>
          <w:szCs w:val="32"/>
        </w:rPr>
        <w:t>乙</w:t>
      </w:r>
      <w:r>
        <w:rPr>
          <w:rFonts w:hint="default" w:ascii="Times New Roman" w:hAnsi="Times New Roman" w:eastAsia="方正仿宋_GBK" w:cs="Times New Roman"/>
          <w:sz w:val="32"/>
          <w:szCs w:val="32"/>
        </w:rPr>
        <w:t>方工作人员未及时填报数据被相关部门通报或处罚，其责任由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方承担，当月污水处理运营费由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方自行承担，并且视为</w:t>
      </w:r>
      <w:r>
        <w:rPr>
          <w:rFonts w:hint="eastAsia" w:ascii="方正仿宋_GBK" w:eastAsia="方正仿宋_GBK"/>
          <w:sz w:val="32"/>
          <w:szCs w:val="32"/>
        </w:rPr>
        <w:t>乙</w:t>
      </w:r>
      <w:r>
        <w:rPr>
          <w:rFonts w:hint="default" w:ascii="Times New Roman" w:hAnsi="Times New Roman" w:eastAsia="方正仿宋_GBK" w:cs="Times New Roman"/>
          <w:sz w:val="32"/>
          <w:szCs w:val="32"/>
        </w:rPr>
        <w:t>方违约，合同自动解除，并赔偿甲方相应损失。</w:t>
      </w:r>
    </w:p>
    <w:p w14:paraId="1B3418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r>
        <w:rPr>
          <w:rFonts w:hint="eastAsia" w:ascii="方正仿宋_GBK" w:eastAsia="方正仿宋_GBK"/>
          <w:sz w:val="32"/>
          <w:szCs w:val="32"/>
        </w:rPr>
        <w:t>乙</w:t>
      </w:r>
      <w:r>
        <w:rPr>
          <w:rFonts w:hint="default" w:ascii="Times New Roman" w:hAnsi="Times New Roman" w:eastAsia="方正仿宋_GBK" w:cs="Times New Roman"/>
          <w:sz w:val="32"/>
          <w:szCs w:val="32"/>
        </w:rPr>
        <w:t>方在项目设施的运营和维护期间应采取一切合理措施来避免或尽量减少对项目设施周围建筑物和居民区的干扰。同时，</w:t>
      </w:r>
      <w:r>
        <w:rPr>
          <w:rFonts w:hint="eastAsia" w:ascii="方正仿宋_GBK" w:eastAsia="方正仿宋_GBK"/>
          <w:sz w:val="32"/>
          <w:szCs w:val="32"/>
        </w:rPr>
        <w:t>乙</w:t>
      </w:r>
      <w:r>
        <w:rPr>
          <w:rFonts w:hint="default" w:ascii="Times New Roman" w:hAnsi="Times New Roman" w:eastAsia="方正仿宋_GBK" w:cs="Times New Roman"/>
          <w:sz w:val="32"/>
          <w:szCs w:val="32"/>
        </w:rPr>
        <w:t>方不得因项目设施的运营和维护而造成污水处理场地和周围的污染。如因环境污染造成相关损失，由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方负责承担，给甲方造成损失的，由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方向甲方赔偿实际损失金额，同时</w:t>
      </w:r>
      <w:r>
        <w:rPr>
          <w:rFonts w:hint="eastAsia" w:ascii="方正仿宋_GBK" w:eastAsia="方正仿宋_GBK"/>
          <w:sz w:val="32"/>
          <w:szCs w:val="32"/>
        </w:rPr>
        <w:t>乙</w:t>
      </w:r>
      <w:r>
        <w:rPr>
          <w:rFonts w:hint="default" w:ascii="Times New Roman" w:hAnsi="Times New Roman" w:eastAsia="方正仿宋_GBK" w:cs="Times New Roman"/>
          <w:sz w:val="32"/>
          <w:szCs w:val="32"/>
        </w:rPr>
        <w:t>方向甲方支付实际损失金额3倍的违约金。</w:t>
      </w:r>
    </w:p>
    <w:p w14:paraId="0D02D4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四、污水处理设施运营的要求和标准</w:t>
      </w:r>
    </w:p>
    <w:p w14:paraId="42702C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污染物进水指标</w:t>
      </w:r>
    </w:p>
    <w:p w14:paraId="1C1C2D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t>设计规模为300吨/天，其进水指标如下：</w:t>
      </w:r>
    </w:p>
    <w:tbl>
      <w:tblPr>
        <w:tblStyle w:val="12"/>
        <w:tblW w:w="4222"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5"/>
        <w:gridCol w:w="1450"/>
        <w:gridCol w:w="3705"/>
      </w:tblGrid>
      <w:tr w14:paraId="047C6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1" w:type="pct"/>
            <w:tcBorders>
              <w:top w:val="double" w:color="auto" w:sz="4" w:space="0"/>
              <w:left w:val="double" w:color="auto" w:sz="4" w:space="0"/>
              <w:bottom w:val="single" w:color="auto" w:sz="4" w:space="0"/>
              <w:right w:val="single" w:color="auto" w:sz="4" w:space="0"/>
            </w:tcBorders>
            <w:vAlign w:val="center"/>
          </w:tcPr>
          <w:p w14:paraId="5DF6EFAC">
            <w:pPr>
              <w:spacing w:line="600" w:lineRule="exact"/>
              <w:jc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污染因子</w:t>
            </w:r>
          </w:p>
        </w:tc>
        <w:tc>
          <w:tcPr>
            <w:tcW w:w="948" w:type="pct"/>
            <w:tcBorders>
              <w:top w:val="double" w:color="auto" w:sz="4" w:space="0"/>
              <w:left w:val="single" w:color="auto" w:sz="4" w:space="0"/>
              <w:bottom w:val="single" w:color="auto" w:sz="4" w:space="0"/>
              <w:right w:val="single" w:color="auto" w:sz="4" w:space="0"/>
            </w:tcBorders>
            <w:vAlign w:val="center"/>
          </w:tcPr>
          <w:p w14:paraId="579D685A">
            <w:pPr>
              <w:spacing w:line="600" w:lineRule="exact"/>
              <w:jc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单位</w:t>
            </w:r>
          </w:p>
        </w:tc>
        <w:tc>
          <w:tcPr>
            <w:tcW w:w="2421" w:type="pct"/>
            <w:tcBorders>
              <w:top w:val="double" w:color="auto" w:sz="4" w:space="0"/>
              <w:left w:val="single" w:color="auto" w:sz="4" w:space="0"/>
              <w:bottom w:val="single" w:color="auto" w:sz="4" w:space="0"/>
              <w:right w:val="double" w:color="auto" w:sz="4" w:space="0"/>
            </w:tcBorders>
            <w:vAlign w:val="center"/>
          </w:tcPr>
          <w:p w14:paraId="410B637B">
            <w:pPr>
              <w:spacing w:line="600" w:lineRule="exact"/>
              <w:jc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进水水质（上限值）</w:t>
            </w:r>
          </w:p>
        </w:tc>
      </w:tr>
      <w:tr w14:paraId="258992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631" w:type="pct"/>
            <w:tcBorders>
              <w:top w:val="single" w:color="auto" w:sz="4" w:space="0"/>
              <w:left w:val="double" w:color="auto" w:sz="4" w:space="0"/>
              <w:bottom w:val="single" w:color="auto" w:sz="4" w:space="0"/>
              <w:right w:val="single" w:color="auto" w:sz="4" w:space="0"/>
            </w:tcBorders>
            <w:vAlign w:val="center"/>
          </w:tcPr>
          <w:p w14:paraId="32799DBA">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COD</w:t>
            </w:r>
            <w:r>
              <w:rPr>
                <w:rFonts w:hint="default" w:ascii="Times New Roman" w:hAnsi="Times New Roman" w:cs="Times New Roman"/>
                <w:sz w:val="28"/>
                <w:szCs w:val="28"/>
                <w:vertAlign w:val="subscript"/>
              </w:rPr>
              <w:t>cr</w:t>
            </w:r>
          </w:p>
        </w:tc>
        <w:tc>
          <w:tcPr>
            <w:tcW w:w="948" w:type="pct"/>
            <w:tcBorders>
              <w:top w:val="single" w:color="auto" w:sz="4" w:space="0"/>
              <w:left w:val="single" w:color="auto" w:sz="4" w:space="0"/>
              <w:bottom w:val="single" w:color="auto" w:sz="4" w:space="0"/>
              <w:right w:val="single" w:color="auto" w:sz="4" w:space="0"/>
            </w:tcBorders>
            <w:vAlign w:val="center"/>
          </w:tcPr>
          <w:p w14:paraId="7816A665">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421" w:type="pct"/>
            <w:tcBorders>
              <w:top w:val="single" w:color="auto" w:sz="4" w:space="0"/>
              <w:left w:val="single" w:color="auto" w:sz="4" w:space="0"/>
              <w:bottom w:val="single" w:color="auto" w:sz="4" w:space="0"/>
              <w:right w:val="double" w:color="auto" w:sz="4" w:space="0"/>
            </w:tcBorders>
            <w:vAlign w:val="center"/>
          </w:tcPr>
          <w:p w14:paraId="57A25871">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300</w:t>
            </w:r>
          </w:p>
        </w:tc>
      </w:tr>
      <w:tr w14:paraId="43D92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31" w:type="pct"/>
            <w:tcBorders>
              <w:top w:val="single" w:color="auto" w:sz="4" w:space="0"/>
              <w:left w:val="double" w:color="auto" w:sz="4" w:space="0"/>
              <w:bottom w:val="single" w:color="auto" w:sz="4" w:space="0"/>
              <w:right w:val="single" w:color="auto" w:sz="4" w:space="0"/>
            </w:tcBorders>
            <w:vAlign w:val="center"/>
          </w:tcPr>
          <w:p w14:paraId="2C9200D3">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BOD</w:t>
            </w:r>
            <w:r>
              <w:rPr>
                <w:rFonts w:hint="default" w:ascii="Times New Roman" w:hAnsi="Times New Roman" w:cs="Times New Roman"/>
                <w:sz w:val="28"/>
                <w:szCs w:val="28"/>
                <w:vertAlign w:val="subscript"/>
              </w:rPr>
              <w:t>5</w:t>
            </w:r>
          </w:p>
        </w:tc>
        <w:tc>
          <w:tcPr>
            <w:tcW w:w="948" w:type="pct"/>
            <w:tcBorders>
              <w:top w:val="single" w:color="auto" w:sz="4" w:space="0"/>
              <w:left w:val="single" w:color="auto" w:sz="4" w:space="0"/>
              <w:bottom w:val="single" w:color="auto" w:sz="4" w:space="0"/>
              <w:right w:val="single" w:color="auto" w:sz="4" w:space="0"/>
            </w:tcBorders>
            <w:vAlign w:val="center"/>
          </w:tcPr>
          <w:p w14:paraId="758E8C3D">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421" w:type="pct"/>
            <w:tcBorders>
              <w:top w:val="single" w:color="auto" w:sz="4" w:space="0"/>
              <w:left w:val="single" w:color="auto" w:sz="4" w:space="0"/>
              <w:bottom w:val="single" w:color="auto" w:sz="4" w:space="0"/>
              <w:right w:val="double" w:color="auto" w:sz="4" w:space="0"/>
            </w:tcBorders>
            <w:vAlign w:val="center"/>
          </w:tcPr>
          <w:p w14:paraId="181C3E32">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150</w:t>
            </w:r>
          </w:p>
        </w:tc>
      </w:tr>
      <w:tr w14:paraId="6B6FF3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631" w:type="pct"/>
            <w:tcBorders>
              <w:top w:val="single" w:color="auto" w:sz="4" w:space="0"/>
              <w:left w:val="double" w:color="auto" w:sz="4" w:space="0"/>
              <w:bottom w:val="single" w:color="auto" w:sz="4" w:space="0"/>
              <w:right w:val="single" w:color="auto" w:sz="4" w:space="0"/>
            </w:tcBorders>
            <w:vAlign w:val="center"/>
          </w:tcPr>
          <w:p w14:paraId="6189309C">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SS</w:t>
            </w:r>
          </w:p>
        </w:tc>
        <w:tc>
          <w:tcPr>
            <w:tcW w:w="948" w:type="pct"/>
            <w:tcBorders>
              <w:top w:val="single" w:color="auto" w:sz="4" w:space="0"/>
              <w:left w:val="single" w:color="auto" w:sz="4" w:space="0"/>
              <w:bottom w:val="single" w:color="auto" w:sz="4" w:space="0"/>
              <w:right w:val="single" w:color="auto" w:sz="4" w:space="0"/>
            </w:tcBorders>
            <w:vAlign w:val="center"/>
          </w:tcPr>
          <w:p w14:paraId="4CC00601">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421" w:type="pct"/>
            <w:tcBorders>
              <w:top w:val="single" w:color="auto" w:sz="4" w:space="0"/>
              <w:left w:val="single" w:color="auto" w:sz="4" w:space="0"/>
              <w:bottom w:val="single" w:color="auto" w:sz="4" w:space="0"/>
              <w:right w:val="double" w:color="auto" w:sz="4" w:space="0"/>
            </w:tcBorders>
            <w:vAlign w:val="center"/>
          </w:tcPr>
          <w:p w14:paraId="31828A9F">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200</w:t>
            </w:r>
          </w:p>
        </w:tc>
      </w:tr>
      <w:tr w14:paraId="33E728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31" w:type="pct"/>
            <w:tcBorders>
              <w:top w:val="single" w:color="auto" w:sz="4" w:space="0"/>
              <w:left w:val="double" w:color="auto" w:sz="4" w:space="0"/>
              <w:bottom w:val="single" w:color="auto" w:sz="4" w:space="0"/>
              <w:right w:val="single" w:color="auto" w:sz="4" w:space="0"/>
            </w:tcBorders>
            <w:vAlign w:val="center"/>
          </w:tcPr>
          <w:p w14:paraId="2F09161B">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NH</w:t>
            </w:r>
            <w:r>
              <w:rPr>
                <w:rFonts w:hint="default" w:ascii="Times New Roman" w:hAnsi="Times New Roman" w:cs="Times New Roman"/>
                <w:sz w:val="28"/>
                <w:szCs w:val="28"/>
                <w:vertAlign w:val="subscript"/>
              </w:rPr>
              <w:t>3</w:t>
            </w:r>
            <w:r>
              <w:rPr>
                <w:rFonts w:hint="default" w:ascii="Times New Roman" w:hAnsi="Times New Roman" w:cs="Times New Roman"/>
                <w:sz w:val="28"/>
                <w:szCs w:val="28"/>
              </w:rPr>
              <w:t>-N</w:t>
            </w:r>
          </w:p>
        </w:tc>
        <w:tc>
          <w:tcPr>
            <w:tcW w:w="948" w:type="pct"/>
            <w:tcBorders>
              <w:top w:val="single" w:color="auto" w:sz="4" w:space="0"/>
              <w:left w:val="single" w:color="auto" w:sz="4" w:space="0"/>
              <w:bottom w:val="single" w:color="auto" w:sz="4" w:space="0"/>
              <w:right w:val="single" w:color="auto" w:sz="4" w:space="0"/>
            </w:tcBorders>
            <w:vAlign w:val="center"/>
          </w:tcPr>
          <w:p w14:paraId="23D67AD8">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421" w:type="pct"/>
            <w:tcBorders>
              <w:top w:val="single" w:color="auto" w:sz="4" w:space="0"/>
              <w:left w:val="single" w:color="auto" w:sz="4" w:space="0"/>
              <w:bottom w:val="single" w:color="auto" w:sz="4" w:space="0"/>
              <w:right w:val="double" w:color="auto" w:sz="4" w:space="0"/>
            </w:tcBorders>
            <w:vAlign w:val="center"/>
          </w:tcPr>
          <w:p w14:paraId="5AA62553">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30</w:t>
            </w:r>
          </w:p>
        </w:tc>
      </w:tr>
      <w:tr w14:paraId="72732C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31" w:type="pct"/>
            <w:tcBorders>
              <w:top w:val="single" w:color="auto" w:sz="4" w:space="0"/>
              <w:left w:val="double" w:color="auto" w:sz="4" w:space="0"/>
              <w:bottom w:val="single" w:color="auto" w:sz="4" w:space="0"/>
              <w:right w:val="single" w:color="auto" w:sz="4" w:space="0"/>
            </w:tcBorders>
            <w:vAlign w:val="center"/>
          </w:tcPr>
          <w:p w14:paraId="0458BC35">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TN</w:t>
            </w:r>
          </w:p>
        </w:tc>
        <w:tc>
          <w:tcPr>
            <w:tcW w:w="948" w:type="pct"/>
            <w:tcBorders>
              <w:top w:val="single" w:color="auto" w:sz="4" w:space="0"/>
              <w:left w:val="single" w:color="auto" w:sz="4" w:space="0"/>
              <w:bottom w:val="single" w:color="auto" w:sz="4" w:space="0"/>
              <w:right w:val="single" w:color="auto" w:sz="4" w:space="0"/>
            </w:tcBorders>
            <w:vAlign w:val="center"/>
          </w:tcPr>
          <w:p w14:paraId="298BC351">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421" w:type="pct"/>
            <w:tcBorders>
              <w:top w:val="single" w:color="auto" w:sz="4" w:space="0"/>
              <w:left w:val="single" w:color="auto" w:sz="4" w:space="0"/>
              <w:bottom w:val="single" w:color="auto" w:sz="4" w:space="0"/>
              <w:right w:val="double" w:color="auto" w:sz="4" w:space="0"/>
            </w:tcBorders>
            <w:vAlign w:val="center"/>
          </w:tcPr>
          <w:p w14:paraId="3F6C82C6">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35</w:t>
            </w:r>
          </w:p>
        </w:tc>
      </w:tr>
      <w:tr w14:paraId="0B5AF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31" w:type="pct"/>
            <w:tcBorders>
              <w:top w:val="single" w:color="auto" w:sz="4" w:space="0"/>
              <w:left w:val="double" w:color="auto" w:sz="4" w:space="0"/>
              <w:bottom w:val="double" w:color="auto" w:sz="4" w:space="0"/>
              <w:right w:val="single" w:color="auto" w:sz="4" w:space="0"/>
            </w:tcBorders>
            <w:vAlign w:val="center"/>
          </w:tcPr>
          <w:p w14:paraId="1D98015D">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TP</w:t>
            </w:r>
          </w:p>
        </w:tc>
        <w:tc>
          <w:tcPr>
            <w:tcW w:w="948" w:type="pct"/>
            <w:tcBorders>
              <w:top w:val="single" w:color="auto" w:sz="4" w:space="0"/>
              <w:left w:val="single" w:color="auto" w:sz="4" w:space="0"/>
              <w:bottom w:val="double" w:color="auto" w:sz="4" w:space="0"/>
              <w:right w:val="single" w:color="auto" w:sz="4" w:space="0"/>
            </w:tcBorders>
            <w:vAlign w:val="center"/>
          </w:tcPr>
          <w:p w14:paraId="3BA9F178">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421" w:type="pct"/>
            <w:tcBorders>
              <w:top w:val="single" w:color="auto" w:sz="4" w:space="0"/>
              <w:left w:val="single" w:color="auto" w:sz="4" w:space="0"/>
              <w:bottom w:val="double" w:color="auto" w:sz="4" w:space="0"/>
              <w:right w:val="double" w:color="auto" w:sz="4" w:space="0"/>
            </w:tcBorders>
            <w:vAlign w:val="center"/>
          </w:tcPr>
          <w:p w14:paraId="373AAAB3">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w:t>
            </w:r>
          </w:p>
        </w:tc>
      </w:tr>
    </w:tbl>
    <w:p w14:paraId="3B8CB5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污染物排放指标</w:t>
      </w:r>
    </w:p>
    <w:p w14:paraId="034896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出水水质设计排放指标达到《城镇污水处理厂污染物排放标准》中的一级B标准，其出水指标如下：</w:t>
      </w:r>
    </w:p>
    <w:tbl>
      <w:tblPr>
        <w:tblStyle w:val="12"/>
        <w:tblW w:w="418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2040"/>
        <w:gridCol w:w="3509"/>
      </w:tblGrid>
      <w:tr w14:paraId="158F8E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4" w:type="pct"/>
            <w:tcBorders>
              <w:tl2br w:val="nil"/>
              <w:tr2bl w:val="nil"/>
            </w:tcBorders>
            <w:vAlign w:val="center"/>
          </w:tcPr>
          <w:p w14:paraId="1DE6AB93">
            <w:pPr>
              <w:spacing w:line="600" w:lineRule="exact"/>
              <w:jc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污染因子</w:t>
            </w:r>
          </w:p>
        </w:tc>
        <w:tc>
          <w:tcPr>
            <w:tcW w:w="1344" w:type="pct"/>
            <w:tcBorders>
              <w:tl2br w:val="nil"/>
              <w:tr2bl w:val="nil"/>
            </w:tcBorders>
            <w:vAlign w:val="center"/>
          </w:tcPr>
          <w:p w14:paraId="18F4474A">
            <w:pPr>
              <w:spacing w:line="600" w:lineRule="exact"/>
              <w:jc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单位</w:t>
            </w:r>
          </w:p>
        </w:tc>
        <w:tc>
          <w:tcPr>
            <w:tcW w:w="2313" w:type="pct"/>
            <w:tcBorders>
              <w:tl2br w:val="nil"/>
              <w:tr2bl w:val="nil"/>
            </w:tcBorders>
            <w:vAlign w:val="center"/>
          </w:tcPr>
          <w:p w14:paraId="6AA72460">
            <w:pPr>
              <w:spacing w:line="600" w:lineRule="exact"/>
              <w:jc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出水水质</w:t>
            </w:r>
          </w:p>
        </w:tc>
      </w:tr>
      <w:tr w14:paraId="7D8D91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44" w:type="pct"/>
            <w:tcBorders>
              <w:tl2br w:val="nil"/>
              <w:tr2bl w:val="nil"/>
            </w:tcBorders>
            <w:vAlign w:val="center"/>
          </w:tcPr>
          <w:p w14:paraId="156616D8">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CODcr</w:t>
            </w:r>
          </w:p>
        </w:tc>
        <w:tc>
          <w:tcPr>
            <w:tcW w:w="1344" w:type="pct"/>
            <w:tcBorders>
              <w:tl2br w:val="nil"/>
              <w:tr2bl w:val="nil"/>
            </w:tcBorders>
            <w:vAlign w:val="center"/>
          </w:tcPr>
          <w:p w14:paraId="29BC8D5C">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313" w:type="pct"/>
            <w:tcBorders>
              <w:tl2br w:val="nil"/>
              <w:tr2bl w:val="nil"/>
            </w:tcBorders>
            <w:vAlign w:val="center"/>
          </w:tcPr>
          <w:p w14:paraId="4B70C6B3">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≤60</w:t>
            </w:r>
          </w:p>
        </w:tc>
      </w:tr>
      <w:tr w14:paraId="5E5A0D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44" w:type="pct"/>
            <w:tcBorders>
              <w:tl2br w:val="nil"/>
              <w:tr2bl w:val="nil"/>
            </w:tcBorders>
            <w:vAlign w:val="center"/>
          </w:tcPr>
          <w:p w14:paraId="1D42C793">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BOD</w:t>
            </w:r>
            <w:r>
              <w:rPr>
                <w:rFonts w:hint="default" w:ascii="Times New Roman" w:hAnsi="Times New Roman" w:cs="Times New Roman"/>
                <w:sz w:val="28"/>
                <w:szCs w:val="28"/>
                <w:vertAlign w:val="subscript"/>
              </w:rPr>
              <w:t>5</w:t>
            </w:r>
          </w:p>
        </w:tc>
        <w:tc>
          <w:tcPr>
            <w:tcW w:w="1344" w:type="pct"/>
            <w:tcBorders>
              <w:tl2br w:val="nil"/>
              <w:tr2bl w:val="nil"/>
            </w:tcBorders>
            <w:vAlign w:val="center"/>
          </w:tcPr>
          <w:p w14:paraId="26E30BA4">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313" w:type="pct"/>
            <w:tcBorders>
              <w:tl2br w:val="nil"/>
              <w:tr2bl w:val="nil"/>
            </w:tcBorders>
            <w:vAlign w:val="center"/>
          </w:tcPr>
          <w:p w14:paraId="603A727A">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w:t>
            </w:r>
          </w:p>
        </w:tc>
      </w:tr>
      <w:tr w14:paraId="3BEF4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44" w:type="pct"/>
            <w:tcBorders>
              <w:tl2br w:val="nil"/>
              <w:tr2bl w:val="nil"/>
            </w:tcBorders>
            <w:vAlign w:val="center"/>
          </w:tcPr>
          <w:p w14:paraId="476C9EE8">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SS</w:t>
            </w:r>
          </w:p>
        </w:tc>
        <w:tc>
          <w:tcPr>
            <w:tcW w:w="1344" w:type="pct"/>
            <w:tcBorders>
              <w:tl2br w:val="nil"/>
              <w:tr2bl w:val="nil"/>
            </w:tcBorders>
            <w:vAlign w:val="center"/>
          </w:tcPr>
          <w:p w14:paraId="0C22FA0F">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313" w:type="pct"/>
            <w:tcBorders>
              <w:tl2br w:val="nil"/>
              <w:tr2bl w:val="nil"/>
            </w:tcBorders>
            <w:vAlign w:val="center"/>
          </w:tcPr>
          <w:p w14:paraId="7C43EC62">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w:t>
            </w:r>
          </w:p>
        </w:tc>
      </w:tr>
      <w:tr w14:paraId="2FB9D1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44" w:type="pct"/>
            <w:tcBorders>
              <w:tl2br w:val="nil"/>
              <w:tr2bl w:val="nil"/>
            </w:tcBorders>
            <w:vAlign w:val="center"/>
          </w:tcPr>
          <w:p w14:paraId="119C6F83">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TN</w:t>
            </w:r>
          </w:p>
        </w:tc>
        <w:tc>
          <w:tcPr>
            <w:tcW w:w="1344" w:type="pct"/>
            <w:tcBorders>
              <w:tl2br w:val="nil"/>
              <w:tr2bl w:val="nil"/>
            </w:tcBorders>
            <w:vAlign w:val="center"/>
          </w:tcPr>
          <w:p w14:paraId="6C51095D">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313" w:type="pct"/>
            <w:tcBorders>
              <w:tl2br w:val="nil"/>
              <w:tr2bl w:val="nil"/>
            </w:tcBorders>
            <w:vAlign w:val="center"/>
          </w:tcPr>
          <w:p w14:paraId="6B842F2C">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w:t>
            </w:r>
          </w:p>
        </w:tc>
      </w:tr>
      <w:tr w14:paraId="43175F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44" w:type="pct"/>
            <w:tcBorders>
              <w:tl2br w:val="nil"/>
              <w:tr2bl w:val="nil"/>
            </w:tcBorders>
            <w:vAlign w:val="center"/>
          </w:tcPr>
          <w:p w14:paraId="0505F0EE">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NH</w:t>
            </w:r>
            <w:r>
              <w:rPr>
                <w:rFonts w:hint="default" w:ascii="Times New Roman" w:hAnsi="Times New Roman" w:cs="Times New Roman"/>
                <w:sz w:val="28"/>
                <w:szCs w:val="28"/>
                <w:vertAlign w:val="subscript"/>
              </w:rPr>
              <w:t>3</w:t>
            </w:r>
            <w:r>
              <w:rPr>
                <w:rFonts w:hint="default" w:ascii="Times New Roman" w:hAnsi="Times New Roman" w:cs="Times New Roman"/>
                <w:sz w:val="28"/>
                <w:szCs w:val="28"/>
              </w:rPr>
              <w:t>-N</w:t>
            </w:r>
          </w:p>
        </w:tc>
        <w:tc>
          <w:tcPr>
            <w:tcW w:w="1344" w:type="pct"/>
            <w:tcBorders>
              <w:tl2br w:val="nil"/>
              <w:tr2bl w:val="nil"/>
            </w:tcBorders>
            <w:vAlign w:val="center"/>
          </w:tcPr>
          <w:p w14:paraId="35F8609D">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313" w:type="pct"/>
            <w:tcBorders>
              <w:tl2br w:val="nil"/>
              <w:tr2bl w:val="nil"/>
            </w:tcBorders>
            <w:vAlign w:val="center"/>
          </w:tcPr>
          <w:p w14:paraId="0033B707">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≤15</w:t>
            </w:r>
          </w:p>
        </w:tc>
      </w:tr>
      <w:tr w14:paraId="4FE435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44" w:type="pct"/>
            <w:tcBorders>
              <w:tl2br w:val="nil"/>
              <w:tr2bl w:val="nil"/>
            </w:tcBorders>
            <w:vAlign w:val="center"/>
          </w:tcPr>
          <w:p w14:paraId="1A4E30AD">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TP</w:t>
            </w:r>
          </w:p>
        </w:tc>
        <w:tc>
          <w:tcPr>
            <w:tcW w:w="1344" w:type="pct"/>
            <w:tcBorders>
              <w:tl2br w:val="nil"/>
              <w:tr2bl w:val="nil"/>
            </w:tcBorders>
            <w:vAlign w:val="center"/>
          </w:tcPr>
          <w:p w14:paraId="5A265FC6">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mg/L</w:t>
            </w:r>
          </w:p>
        </w:tc>
        <w:tc>
          <w:tcPr>
            <w:tcW w:w="2313" w:type="pct"/>
            <w:tcBorders>
              <w:tl2br w:val="nil"/>
              <w:tr2bl w:val="nil"/>
            </w:tcBorders>
            <w:vAlign w:val="center"/>
          </w:tcPr>
          <w:p w14:paraId="7DFD6640">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w:t>
            </w:r>
          </w:p>
        </w:tc>
      </w:tr>
    </w:tbl>
    <w:p w14:paraId="5CEDF873">
      <w:pPr>
        <w:keepNext w:val="0"/>
        <w:keepLines w:val="0"/>
        <w:pageBreakBefore w:val="0"/>
        <w:kinsoku/>
        <w:wordWrap/>
        <w:overflowPunct/>
        <w:topLinePunct w:val="0"/>
        <w:autoSpaceDE/>
        <w:autoSpaceDN/>
        <w:bidi w:val="0"/>
        <w:adjustRightInd/>
        <w:snapToGrid/>
        <w:spacing w:line="600" w:lineRule="exact"/>
        <w:ind w:firstLine="640" w:firstLineChars="200"/>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五、污水处理服务费用的计算与支付方式</w:t>
      </w:r>
    </w:p>
    <w:p w14:paraId="0D6DD368">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甲方支付</w:t>
      </w:r>
      <w:r>
        <w:rPr>
          <w:rFonts w:hint="eastAsia" w:ascii="方正仿宋_GBK" w:eastAsia="方正仿宋_GBK"/>
          <w:sz w:val="32"/>
          <w:szCs w:val="32"/>
        </w:rPr>
        <w:t>乙</w:t>
      </w:r>
      <w:r>
        <w:rPr>
          <w:rFonts w:hint="default" w:ascii="Times New Roman" w:hAnsi="Times New Roman" w:eastAsia="方正仿宋_GBK" w:cs="Times New Roman"/>
          <w:sz w:val="32"/>
          <w:szCs w:val="32"/>
        </w:rPr>
        <w:t>方污水处理费：</w:t>
      </w:r>
    </w:p>
    <w:p w14:paraId="6A386EA8">
      <w:pPr>
        <w:keepNext w:val="0"/>
        <w:keepLines w:val="0"/>
        <w:pageBreakBefore w:val="0"/>
        <w:kinsoku/>
        <w:wordWrap/>
        <w:overflowPunct/>
        <w:topLinePunct w:val="0"/>
        <w:autoSpaceDE/>
        <w:autoSpaceDN/>
        <w:bidi w:val="0"/>
        <w:adjustRightInd/>
        <w:snapToGrid/>
        <w:spacing w:line="600" w:lineRule="exact"/>
        <w:ind w:left="638" w:leftChars="304"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（1）污水一体化处理设施运营一年管理服务费总价为</w:t>
      </w:r>
    </w:p>
    <w:p w14:paraId="6251D12A">
      <w:pPr>
        <w:keepNext w:val="0"/>
        <w:keepLines w:val="0"/>
        <w:pageBreakBefore w:val="0"/>
        <w:kinsoku/>
        <w:wordWrap/>
        <w:overflowPunct/>
        <w:topLinePunct w:val="0"/>
        <w:autoSpaceDE/>
        <w:autoSpaceDN/>
        <w:bidi w:val="0"/>
        <w:adjustRightInd/>
        <w:snapToGrid/>
        <w:spacing w:line="600" w:lineRule="exact"/>
        <w:ind w:left="638" w:leftChars="304" w:firstLine="0" w:firstLineChars="0"/>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u w:val="single"/>
          <w:lang w:val="en-US" w:eastAsia="zh-CN"/>
        </w:rPr>
        <w:t xml:space="preserve">         </w:t>
      </w:r>
      <w:r>
        <w:rPr>
          <w:rFonts w:hint="default" w:ascii="Times New Roman" w:hAnsi="Times New Roman" w:eastAsia="方正仿宋_GBK" w:cs="Times New Roman"/>
          <w:sz w:val="32"/>
          <w:szCs w:val="32"/>
        </w:rPr>
        <w:t>万元（含税包干价）。</w:t>
      </w:r>
    </w:p>
    <w:p w14:paraId="3EAC937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污水一体化处理设施运营管理服务费总价包括但不限于生产费用（包括污泥填埋费）、排污税、管理费用和人员工资、安全运营费、污水处理设施已有生产设备、设施设备的维修、保养、更换等费用，污水计量设备的监测、调试费用，第三方委托监测费，污水处理设施排污费、规费、利润、税金等所有污水处理设施运营管理中一切会产生的相关运营管理费用，此价格不受市场价格的变化和其它因素影响而变化。</w:t>
      </w:r>
    </w:p>
    <w:p w14:paraId="5619DBF1">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付款方式：</w:t>
      </w:r>
      <w:r>
        <w:rPr>
          <w:rFonts w:hint="default" w:ascii="Times New Roman" w:hAnsi="Times New Roman" w:eastAsia="方正仿宋_GBK" w:cs="Times New Roman"/>
          <w:b/>
          <w:color w:val="000000"/>
          <w:sz w:val="32"/>
          <w:szCs w:val="32"/>
        </w:rPr>
        <w:t>实行每季度结算一次，每季度结算费用=含税包干价/4季度。</w:t>
      </w:r>
      <w:r>
        <w:rPr>
          <w:rFonts w:hint="default" w:ascii="Times New Roman" w:hAnsi="Times New Roman" w:eastAsia="方正仿宋_GBK" w:cs="Times New Roman"/>
          <w:kern w:val="2"/>
          <w:sz w:val="32"/>
          <w:szCs w:val="32"/>
        </w:rPr>
        <w:t>甲方在每季度末的第5个工作日内对</w:t>
      </w:r>
      <w:r>
        <w:rPr>
          <w:rFonts w:hint="eastAsia" w:ascii="方正仿宋_GBK" w:eastAsia="方正仿宋_GBK"/>
          <w:sz w:val="32"/>
          <w:szCs w:val="32"/>
        </w:rPr>
        <w:t>乙</w:t>
      </w:r>
      <w:r>
        <w:rPr>
          <w:rFonts w:hint="default" w:ascii="Times New Roman" w:hAnsi="Times New Roman" w:eastAsia="方正仿宋_GBK" w:cs="Times New Roman"/>
          <w:kern w:val="2"/>
          <w:sz w:val="32"/>
          <w:szCs w:val="32"/>
        </w:rPr>
        <w:t>方过程记录资料及现场抽检审核达到合格后，</w:t>
      </w:r>
      <w:r>
        <w:rPr>
          <w:rFonts w:hint="eastAsia" w:ascii="方正仿宋_GBK" w:eastAsia="方正仿宋_GBK"/>
          <w:sz w:val="32"/>
          <w:szCs w:val="32"/>
        </w:rPr>
        <w:t>乙</w:t>
      </w:r>
      <w:r>
        <w:rPr>
          <w:rFonts w:hint="default" w:ascii="Times New Roman" w:hAnsi="Times New Roman" w:eastAsia="方正仿宋_GBK" w:cs="Times New Roman"/>
          <w:kern w:val="2"/>
          <w:sz w:val="32"/>
          <w:szCs w:val="32"/>
        </w:rPr>
        <w:t>方在审核完成后的3个工作日前向甲方提出付款申请，甲方在3个工作日内给予回复。</w:t>
      </w:r>
      <w:r>
        <w:rPr>
          <w:rFonts w:hint="eastAsia" w:ascii="方正仿宋_GBK" w:eastAsia="方正仿宋_GBK"/>
          <w:sz w:val="32"/>
          <w:szCs w:val="32"/>
        </w:rPr>
        <w:t>乙</w:t>
      </w:r>
      <w:r>
        <w:rPr>
          <w:rFonts w:hint="default" w:ascii="Times New Roman" w:hAnsi="Times New Roman" w:eastAsia="方正仿宋_GBK" w:cs="Times New Roman"/>
          <w:kern w:val="2"/>
          <w:sz w:val="32"/>
          <w:szCs w:val="32"/>
        </w:rPr>
        <w:t>方收到甲方同意予以支付回复后才可开具等额、有效、合法的增值税专用发票送到甲方，甲方收到付款通知书后，经甲方审核并完善内部支付审批流程后向</w:t>
      </w:r>
      <w:r>
        <w:rPr>
          <w:rFonts w:hint="eastAsia" w:ascii="方正仿宋_GBK" w:eastAsia="方正仿宋_GBK"/>
          <w:sz w:val="32"/>
          <w:szCs w:val="32"/>
        </w:rPr>
        <w:t>乙</w:t>
      </w:r>
      <w:r>
        <w:rPr>
          <w:rFonts w:hint="default" w:ascii="Times New Roman" w:hAnsi="Times New Roman" w:eastAsia="方正仿宋_GBK" w:cs="Times New Roman"/>
          <w:kern w:val="2"/>
          <w:sz w:val="32"/>
          <w:szCs w:val="32"/>
        </w:rPr>
        <w:t>方支付运营管理服务费用。如果甲方未按时支付相关费用，</w:t>
      </w:r>
      <w:r>
        <w:rPr>
          <w:rFonts w:hint="eastAsia" w:ascii="方正仿宋_GBK" w:eastAsia="方正仿宋_GBK"/>
          <w:sz w:val="32"/>
          <w:szCs w:val="32"/>
        </w:rPr>
        <w:t>乙</w:t>
      </w:r>
      <w:r>
        <w:rPr>
          <w:rFonts w:hint="default" w:ascii="Times New Roman" w:hAnsi="Times New Roman" w:eastAsia="方正仿宋_GBK" w:cs="Times New Roman"/>
          <w:kern w:val="2"/>
          <w:sz w:val="32"/>
          <w:szCs w:val="32"/>
        </w:rPr>
        <w:t>方不得以任何理由暂停运行管理。</w:t>
      </w:r>
    </w:p>
    <w:p w14:paraId="7DBC15C0">
      <w:pPr>
        <w:keepNext w:val="0"/>
        <w:keepLines w:val="0"/>
        <w:pageBreakBefore w:val="0"/>
        <w:kinsoku/>
        <w:wordWrap/>
        <w:overflowPunct/>
        <w:topLinePunct w:val="0"/>
        <w:autoSpaceDE/>
        <w:autoSpaceDN/>
        <w:bidi w:val="0"/>
        <w:adjustRightInd/>
        <w:snapToGrid/>
        <w:spacing w:line="600" w:lineRule="exact"/>
        <w:ind w:firstLine="640" w:firstLineChars="200"/>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六、项目设施的运行、应急、维护和设备更换</w:t>
      </w:r>
    </w:p>
    <w:p w14:paraId="5676D2F1">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方应保证项目设施每日正常运转。因设施设备检修需暂停服务时，须报甲方并及时通知排污企业。</w:t>
      </w:r>
    </w:p>
    <w:p w14:paraId="7E01F060">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对整个项目设施设备改造须事先征得甲方同意。</w:t>
      </w:r>
    </w:p>
    <w:p w14:paraId="6A378B9B">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当出现出水水质不能达标时，</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方应启动应急预案。</w:t>
      </w:r>
    </w:p>
    <w:p w14:paraId="4B6F2DDD">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当出现接管水质不能达标时，</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方应立即报告甲方。</w:t>
      </w:r>
    </w:p>
    <w:p w14:paraId="50402C8D">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当电力供应出现异常时，</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方应立即报告甲方，同时启动备用电源和应急预案。</w:t>
      </w:r>
    </w:p>
    <w:p w14:paraId="64886D0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项目设施的运行与维护应符合中国法律、法规和国家行业规范、标准的要求，包括《城市污水处理厂运行、维护及其安全技术规程》（CJJ60-94）。</w:t>
      </w:r>
    </w:p>
    <w:p w14:paraId="5DE13598">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7.</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方应制定保证设施设备完好的措施和计划，并接受甲方对有关设施设备完好情况的监督和检查。</w:t>
      </w:r>
    </w:p>
    <w:p w14:paraId="79858D8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在委托运营期内，</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方应合理安排规定的检修、保养和设备更新，并保证污水处理正常运行；如遇污水处理设施及设备更换必须停运大修的情况，</w:t>
      </w:r>
      <w:r>
        <w:rPr>
          <w:rFonts w:hint="eastAsia" w:ascii="方正仿宋_GBK" w:eastAsia="方正仿宋_GBK"/>
          <w:sz w:val="32"/>
          <w:szCs w:val="32"/>
        </w:rPr>
        <w:t>乙</w:t>
      </w:r>
      <w:r>
        <w:rPr>
          <w:rFonts w:hint="default" w:ascii="Times New Roman" w:hAnsi="Times New Roman" w:eastAsia="方正仿宋_GBK" w:cs="Times New Roman"/>
          <w:sz w:val="32"/>
          <w:szCs w:val="32"/>
        </w:rPr>
        <w:t>方必须提前48小时书面通知甲方，经甲方批准后开展大修。污水处理设施区域内的设备设施质保期满后，因检修、保养、大修和更换所产生的费用，均由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方承担。</w:t>
      </w:r>
    </w:p>
    <w:p w14:paraId="11A6040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9.</w:t>
      </w:r>
      <w:r>
        <w:rPr>
          <w:rFonts w:hint="eastAsia" w:ascii="方正仿宋_GBK" w:eastAsia="方正仿宋_GBK"/>
          <w:sz w:val="32"/>
          <w:szCs w:val="32"/>
        </w:rPr>
        <w:t>乙</w:t>
      </w:r>
      <w:r>
        <w:rPr>
          <w:rFonts w:hint="default" w:ascii="Times New Roman" w:hAnsi="Times New Roman" w:eastAsia="方正仿宋_GBK" w:cs="Times New Roman"/>
          <w:sz w:val="32"/>
          <w:szCs w:val="32"/>
        </w:rPr>
        <w:t>方对管理的设施区域内配套用房、设施、设备、陈旧老化达不到使用功能等原因必须更新或改造的，需事前书面通知甲方，经甲方同意后进行，费用均由甲方承担。</w:t>
      </w:r>
    </w:p>
    <w:p w14:paraId="6DC14C96">
      <w:pPr>
        <w:keepNext w:val="0"/>
        <w:keepLines w:val="0"/>
        <w:pageBreakBefore w:val="0"/>
        <w:kinsoku/>
        <w:wordWrap/>
        <w:overflowPunct/>
        <w:topLinePunct w:val="0"/>
        <w:autoSpaceDE/>
        <w:autoSpaceDN/>
        <w:bidi w:val="0"/>
        <w:adjustRightInd/>
        <w:snapToGrid/>
        <w:spacing w:line="600" w:lineRule="exact"/>
        <w:ind w:firstLine="640" w:firstLineChars="200"/>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七、资产管理与项目设施的移交</w:t>
      </w:r>
    </w:p>
    <w:p w14:paraId="482990E8">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委托运营期间，原有的污水处理设施、设备的所有权及土地使用权归甲方所有。</w:t>
      </w:r>
    </w:p>
    <w:p w14:paraId="12F0C5E4">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委托运营期间，因污水处理需要</w:t>
      </w:r>
      <w:r>
        <w:rPr>
          <w:rFonts w:hint="eastAsia" w:ascii="方正仿宋_GBK" w:eastAsia="方正仿宋_GBK"/>
          <w:sz w:val="32"/>
          <w:szCs w:val="32"/>
        </w:rPr>
        <w:t>乙</w:t>
      </w:r>
      <w:r>
        <w:rPr>
          <w:rFonts w:hint="default" w:ascii="Times New Roman" w:hAnsi="Times New Roman" w:eastAsia="方正仿宋_GBK" w:cs="Times New Roman"/>
          <w:sz w:val="32"/>
          <w:szCs w:val="32"/>
        </w:rPr>
        <w:t>方新增、维修、更换的设施、设备的所有权归甲方所有。</w:t>
      </w:r>
    </w:p>
    <w:p w14:paraId="3E1F455D">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委托运营期间，甲方新增、更新、改造的设施、设备的所有权归甲方所有。</w:t>
      </w:r>
    </w:p>
    <w:p w14:paraId="522548C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移交的项目设施以现场清点数目为准，并制定交接清单，最终的交接清单需经甲方及</w:t>
      </w:r>
      <w:r>
        <w:rPr>
          <w:rFonts w:hint="eastAsia" w:ascii="方正仿宋_GBK" w:eastAsia="方正仿宋_GBK"/>
          <w:sz w:val="32"/>
          <w:szCs w:val="32"/>
        </w:rPr>
        <w:t>乙</w:t>
      </w:r>
      <w:r>
        <w:rPr>
          <w:rFonts w:hint="default" w:ascii="Times New Roman" w:hAnsi="Times New Roman" w:eastAsia="方正仿宋_GBK" w:cs="Times New Roman"/>
          <w:sz w:val="32"/>
          <w:szCs w:val="32"/>
        </w:rPr>
        <w:t>方签字盖章后生效。</w:t>
      </w:r>
    </w:p>
    <w:p w14:paraId="0347AAB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移交的内容还包括维持本项目正常运行和维护必需的所有技术图纸、规程、规范、资料；生产运行的有关图纸资料和技术文件，包括运行手册、运行记录、设计图纸以及设备寿命消耗及管理表，运行和维护项目设施所需的专有技术、专利、计算机软件及其他知识产权。</w:t>
      </w:r>
    </w:p>
    <w:p w14:paraId="06BD16E5">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6.项目设施移交工作由甲方和</w:t>
      </w:r>
      <w:r>
        <w:rPr>
          <w:rFonts w:hint="eastAsia" w:ascii="方正仿宋_GBK" w:eastAsia="方正仿宋_GBK"/>
          <w:sz w:val="32"/>
          <w:szCs w:val="32"/>
        </w:rPr>
        <w:t>乙</w:t>
      </w:r>
      <w:r>
        <w:rPr>
          <w:rFonts w:hint="default" w:ascii="Times New Roman" w:hAnsi="Times New Roman" w:eastAsia="方正仿宋_GBK" w:cs="Times New Roman"/>
          <w:sz w:val="32"/>
          <w:szCs w:val="32"/>
        </w:rPr>
        <w:t>方共同组建移交工作小组，在正式签定协议后三日内成立移交工作小组，负责完成设施设备清点、运行交接、人员安置以及其他必要的前期工作。</w:t>
      </w:r>
    </w:p>
    <w:p w14:paraId="12A93C0A">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7.移交工作小组工作至项目设施移交完成之日解散。</w:t>
      </w:r>
    </w:p>
    <w:p w14:paraId="1C97633A">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8.设施、设备移交时将进行相关的设备检测，检测中发现的项目设施、设备存在的缺陷或损坏，形成设备缺陷表。由</w:t>
      </w:r>
      <w:r>
        <w:rPr>
          <w:rFonts w:hint="eastAsia" w:ascii="方正仿宋_GBK" w:eastAsia="方正仿宋_GBK"/>
          <w:sz w:val="32"/>
          <w:szCs w:val="32"/>
        </w:rPr>
        <w:t>乙</w:t>
      </w:r>
      <w:r>
        <w:rPr>
          <w:rFonts w:hint="default" w:ascii="Times New Roman" w:hAnsi="Times New Roman" w:eastAsia="方正仿宋_GBK" w:cs="Times New Roman"/>
          <w:sz w:val="32"/>
          <w:szCs w:val="32"/>
        </w:rPr>
        <w:t>方负责修复该缺陷或损坏。</w:t>
      </w:r>
    </w:p>
    <w:p w14:paraId="4503B4A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9.移交过程中，若一方对移交资产的设备、设施的性能及完好程度存在异议时，由</w:t>
      </w:r>
      <w:r>
        <w:rPr>
          <w:rFonts w:hint="eastAsia" w:eastAsia="方正仿宋_GBK" w:cs="Times New Roman"/>
          <w:sz w:val="32"/>
          <w:szCs w:val="32"/>
          <w:lang w:val="en-US" w:eastAsia="zh-CN"/>
        </w:rPr>
        <w:t>双</w:t>
      </w:r>
      <w:r>
        <w:rPr>
          <w:rFonts w:hint="default" w:ascii="Times New Roman" w:hAnsi="Times New Roman" w:eastAsia="方正仿宋_GBK" w:cs="Times New Roman"/>
          <w:sz w:val="32"/>
          <w:szCs w:val="32"/>
        </w:rPr>
        <w:t>方共同委托具有资产评估能力的机构对存在争议的资产进行评估，评估结果具有最终效力，对</w:t>
      </w:r>
      <w:r>
        <w:rPr>
          <w:rFonts w:hint="eastAsia" w:eastAsia="方正仿宋_GBK" w:cs="Times New Roman"/>
          <w:sz w:val="32"/>
          <w:szCs w:val="32"/>
          <w:lang w:val="en-US" w:eastAsia="zh-CN"/>
        </w:rPr>
        <w:t>双</w:t>
      </w:r>
      <w:r>
        <w:rPr>
          <w:rFonts w:hint="default" w:ascii="Times New Roman" w:hAnsi="Times New Roman" w:eastAsia="方正仿宋_GBK" w:cs="Times New Roman"/>
          <w:sz w:val="32"/>
          <w:szCs w:val="32"/>
        </w:rPr>
        <w:t>方都具有约束力。</w:t>
      </w:r>
    </w:p>
    <w:p w14:paraId="6ED67240">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10.本</w:t>
      </w:r>
      <w:r>
        <w:rPr>
          <w:rFonts w:hint="eastAsia" w:eastAsia="方正仿宋_GBK" w:cs="Times New Roman"/>
          <w:sz w:val="32"/>
          <w:szCs w:val="32"/>
          <w:lang w:val="en-US" w:eastAsia="zh-CN"/>
        </w:rPr>
        <w:t>合同</w:t>
      </w:r>
      <w:r>
        <w:rPr>
          <w:rFonts w:hint="default" w:ascii="Times New Roman" w:hAnsi="Times New Roman" w:eastAsia="方正仿宋_GBK" w:cs="Times New Roman"/>
          <w:sz w:val="32"/>
          <w:szCs w:val="32"/>
        </w:rPr>
        <w:t>届满后，</w:t>
      </w:r>
      <w:r>
        <w:rPr>
          <w:rFonts w:hint="eastAsia" w:ascii="方正仿宋_GBK" w:eastAsia="方正仿宋_GBK"/>
          <w:sz w:val="32"/>
          <w:szCs w:val="32"/>
        </w:rPr>
        <w:t>乙</w:t>
      </w:r>
      <w:r>
        <w:rPr>
          <w:rFonts w:hint="default" w:ascii="Times New Roman" w:hAnsi="Times New Roman" w:eastAsia="方正仿宋_GBK" w:cs="Times New Roman"/>
          <w:sz w:val="32"/>
          <w:szCs w:val="32"/>
        </w:rPr>
        <w:t>方无偿将项目设施交回甲方，同时保证项目设施处于良好的达标运行状态。</w:t>
      </w:r>
    </w:p>
    <w:p w14:paraId="387E88F2">
      <w:pPr>
        <w:keepNext w:val="0"/>
        <w:keepLines w:val="0"/>
        <w:pageBreakBefore w:val="0"/>
        <w:kinsoku/>
        <w:wordWrap/>
        <w:overflowPunct/>
        <w:topLinePunct w:val="0"/>
        <w:autoSpaceDE/>
        <w:autoSpaceDN/>
        <w:bidi w:val="0"/>
        <w:adjustRightInd/>
        <w:snapToGrid/>
        <w:spacing w:line="600" w:lineRule="exact"/>
        <w:ind w:firstLine="640" w:firstLineChars="200"/>
        <w:outlineLvl w:val="0"/>
        <w:rPr>
          <w:rFonts w:hint="default" w:ascii="Times New Roman" w:hAnsi="Times New Roman" w:eastAsia="方正黑体_GBK" w:cs="Times New Roman"/>
          <w:sz w:val="32"/>
          <w:szCs w:val="32"/>
        </w:rPr>
      </w:pPr>
      <w:bookmarkStart w:id="0" w:name="_Toc260163169"/>
      <w:r>
        <w:rPr>
          <w:rFonts w:hint="default" w:ascii="Times New Roman" w:hAnsi="Times New Roman" w:eastAsia="方正黑体_GBK" w:cs="Times New Roman"/>
          <w:sz w:val="32"/>
          <w:szCs w:val="32"/>
        </w:rPr>
        <w:t>八、检测与核实</w:t>
      </w:r>
      <w:bookmarkEnd w:id="0"/>
    </w:p>
    <w:p w14:paraId="609D01B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进水和出水的水质应通过日常检测指标和国家规定的分析方法确定，并如实向甲方报告检测结果。</w:t>
      </w:r>
    </w:p>
    <w:p w14:paraId="7D8131CC">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方应接受经甲方委托的具有资质的检测机构按照环保相关检测程序、办法、标准和周期进行检测。</w:t>
      </w:r>
    </w:p>
    <w:p w14:paraId="722B8D8F">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方应记录日常检测的所有结果，并存档备查。</w:t>
      </w:r>
    </w:p>
    <w:p w14:paraId="4A5F5CE1">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hint="eastAsia" w:ascii="方正仿宋_GBK" w:eastAsia="方正仿宋_GBK"/>
          <w:sz w:val="32"/>
          <w:szCs w:val="32"/>
        </w:rPr>
        <w:t>乙</w:t>
      </w:r>
      <w:r>
        <w:rPr>
          <w:rFonts w:hint="default" w:ascii="Times New Roman" w:hAnsi="Times New Roman" w:eastAsia="方正仿宋_GBK" w:cs="Times New Roman"/>
          <w:sz w:val="32"/>
          <w:szCs w:val="32"/>
        </w:rPr>
        <w:t>方可以不定期对接管排污企业的水质进行抽样检测，对接管水质严重不符合本协议规定标准的检测报告应立即报送甲方。甲方负责与</w:t>
      </w:r>
      <w:r>
        <w:rPr>
          <w:rFonts w:hint="eastAsia" w:eastAsia="方正仿宋_GBK" w:cs="Times New Roman"/>
          <w:sz w:val="32"/>
          <w:szCs w:val="32"/>
          <w:lang w:val="en-US" w:eastAsia="zh-CN"/>
        </w:rPr>
        <w:t>企业</w:t>
      </w:r>
      <w:r>
        <w:rPr>
          <w:rFonts w:hint="default" w:ascii="Times New Roman" w:hAnsi="Times New Roman" w:eastAsia="方正仿宋_GBK" w:cs="Times New Roman"/>
          <w:sz w:val="32"/>
          <w:szCs w:val="32"/>
        </w:rPr>
        <w:t>协调处理，</w:t>
      </w:r>
      <w:r>
        <w:rPr>
          <w:rFonts w:hint="eastAsia" w:ascii="方正仿宋_GBK" w:eastAsia="方正仿宋_GBK"/>
          <w:sz w:val="32"/>
          <w:szCs w:val="32"/>
        </w:rPr>
        <w:t>乙</w:t>
      </w:r>
      <w:r>
        <w:rPr>
          <w:rFonts w:hint="default" w:ascii="Times New Roman" w:hAnsi="Times New Roman" w:eastAsia="方正仿宋_GBK" w:cs="Times New Roman"/>
          <w:sz w:val="32"/>
          <w:szCs w:val="32"/>
        </w:rPr>
        <w:t>方配合。</w:t>
      </w:r>
    </w:p>
    <w:p w14:paraId="1DA94FCA">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甲方有权对</w:t>
      </w:r>
      <w:r>
        <w:rPr>
          <w:rFonts w:hint="eastAsia" w:ascii="方正仿宋_GBK" w:eastAsia="方正仿宋_GBK"/>
          <w:sz w:val="32"/>
          <w:szCs w:val="32"/>
        </w:rPr>
        <w:t>乙</w:t>
      </w:r>
      <w:r>
        <w:rPr>
          <w:rFonts w:hint="default" w:ascii="Times New Roman" w:hAnsi="Times New Roman" w:eastAsia="方正仿宋_GBK" w:cs="Times New Roman"/>
          <w:sz w:val="32"/>
          <w:szCs w:val="32"/>
        </w:rPr>
        <w:t>方的检测程序、结果、设备和仪器进行检查；就</w:t>
      </w:r>
      <w:r>
        <w:rPr>
          <w:rFonts w:hint="eastAsia" w:ascii="方正仿宋_GBK" w:eastAsia="方正仿宋_GBK"/>
          <w:sz w:val="32"/>
          <w:szCs w:val="32"/>
        </w:rPr>
        <w:t>乙</w:t>
      </w:r>
      <w:r>
        <w:rPr>
          <w:rFonts w:hint="default" w:ascii="Times New Roman" w:hAnsi="Times New Roman" w:eastAsia="方正仿宋_GBK" w:cs="Times New Roman"/>
          <w:sz w:val="32"/>
          <w:szCs w:val="32"/>
        </w:rPr>
        <w:t>方进行的日常检测，甲方原则上每季度应委托具有资质的水质检测机构，进行一项或多项检测，以核实</w:t>
      </w:r>
      <w:r>
        <w:rPr>
          <w:rFonts w:hint="eastAsia" w:ascii="方正仿宋_GBK" w:eastAsia="方正仿宋_GBK"/>
          <w:sz w:val="32"/>
          <w:szCs w:val="32"/>
        </w:rPr>
        <w:t>乙</w:t>
      </w:r>
      <w:r>
        <w:rPr>
          <w:rFonts w:hint="default" w:ascii="Times New Roman" w:hAnsi="Times New Roman" w:eastAsia="方正仿宋_GBK" w:cs="Times New Roman"/>
          <w:sz w:val="32"/>
          <w:szCs w:val="32"/>
        </w:rPr>
        <w:t>方提供的结果。甲、乙方抽查采样时须有</w:t>
      </w:r>
      <w:r>
        <w:rPr>
          <w:rFonts w:hint="eastAsia" w:ascii="方正仿宋_GBK" w:eastAsia="方正仿宋_GBK"/>
          <w:sz w:val="32"/>
          <w:szCs w:val="32"/>
        </w:rPr>
        <w:t>乙</w:t>
      </w:r>
      <w:r>
        <w:rPr>
          <w:rFonts w:hint="default" w:ascii="Times New Roman" w:hAnsi="Times New Roman" w:eastAsia="方正仿宋_GBK" w:cs="Times New Roman"/>
          <w:sz w:val="32"/>
          <w:szCs w:val="32"/>
        </w:rPr>
        <w:t>方人员在场。经通知后，</w:t>
      </w:r>
      <w:r>
        <w:rPr>
          <w:rFonts w:hint="eastAsia" w:ascii="方正仿宋_GBK" w:eastAsia="方正仿宋_GBK"/>
          <w:sz w:val="32"/>
          <w:szCs w:val="32"/>
        </w:rPr>
        <w:t>乙</w:t>
      </w:r>
      <w:r>
        <w:rPr>
          <w:rFonts w:hint="default" w:ascii="Times New Roman" w:hAnsi="Times New Roman" w:eastAsia="方正仿宋_GBK" w:cs="Times New Roman"/>
          <w:sz w:val="32"/>
          <w:szCs w:val="32"/>
        </w:rPr>
        <w:t>方人员拒不到场的，不影响抽查结果的有效性。</w:t>
      </w:r>
    </w:p>
    <w:p w14:paraId="27A250DF">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甲方核实或抽查的结果与</w:t>
      </w:r>
      <w:r>
        <w:rPr>
          <w:rFonts w:hint="eastAsia" w:ascii="方正仿宋_GBK" w:eastAsia="方正仿宋_GBK"/>
          <w:sz w:val="32"/>
          <w:szCs w:val="32"/>
        </w:rPr>
        <w:t>乙</w:t>
      </w:r>
      <w:r>
        <w:rPr>
          <w:rFonts w:hint="default" w:ascii="Times New Roman" w:hAnsi="Times New Roman" w:eastAsia="方正仿宋_GBK" w:cs="Times New Roman"/>
          <w:sz w:val="32"/>
          <w:szCs w:val="32"/>
        </w:rPr>
        <w:t>方自检结果不一致时，以</w:t>
      </w:r>
      <w:r>
        <w:rPr>
          <w:rFonts w:hint="eastAsia" w:eastAsia="方正仿宋_GBK" w:cs="Times New Roman"/>
          <w:sz w:val="32"/>
          <w:szCs w:val="32"/>
          <w:lang w:val="en-US" w:eastAsia="zh-CN"/>
        </w:rPr>
        <w:t>双</w:t>
      </w:r>
      <w:r>
        <w:rPr>
          <w:rFonts w:hint="default" w:ascii="Times New Roman" w:hAnsi="Times New Roman" w:eastAsia="方正仿宋_GBK" w:cs="Times New Roman"/>
          <w:sz w:val="32"/>
          <w:szCs w:val="32"/>
        </w:rPr>
        <w:t>方认可的有资质的第三方检测结果为准。</w:t>
      </w:r>
    </w:p>
    <w:p w14:paraId="32F47F2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甲方委托的检验机构进行上述核实或检查的费用应由甲方承担，但是如果核实或检查的结果表明</w:t>
      </w:r>
      <w:r>
        <w:rPr>
          <w:rFonts w:hint="eastAsia" w:ascii="方正仿宋_GBK" w:eastAsia="方正仿宋_GBK"/>
          <w:sz w:val="32"/>
          <w:szCs w:val="32"/>
        </w:rPr>
        <w:t>乙</w:t>
      </w:r>
      <w:r>
        <w:rPr>
          <w:rFonts w:hint="default" w:ascii="Times New Roman" w:hAnsi="Times New Roman" w:eastAsia="方正仿宋_GBK" w:cs="Times New Roman"/>
          <w:sz w:val="32"/>
          <w:szCs w:val="32"/>
        </w:rPr>
        <w:t>方检测结果不符合标准时，则</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方应负担</w:t>
      </w:r>
      <w:r>
        <w:rPr>
          <w:rFonts w:hint="eastAsia" w:eastAsia="方正仿宋_GBK" w:cs="Times New Roman"/>
          <w:sz w:val="32"/>
          <w:szCs w:val="32"/>
          <w:lang w:val="en-US" w:eastAsia="zh-CN"/>
        </w:rPr>
        <w:t>该项</w:t>
      </w:r>
      <w:r>
        <w:rPr>
          <w:rFonts w:hint="default" w:ascii="Times New Roman" w:hAnsi="Times New Roman" w:eastAsia="方正仿宋_GBK" w:cs="Times New Roman"/>
          <w:sz w:val="32"/>
          <w:szCs w:val="32"/>
        </w:rPr>
        <w:t>费用。</w:t>
      </w:r>
    </w:p>
    <w:p w14:paraId="43A9017B">
      <w:pPr>
        <w:keepNext w:val="0"/>
        <w:keepLines w:val="0"/>
        <w:pageBreakBefore w:val="0"/>
        <w:kinsoku/>
        <w:wordWrap/>
        <w:overflowPunct/>
        <w:topLinePunct w:val="0"/>
        <w:autoSpaceDE/>
        <w:autoSpaceDN/>
        <w:bidi w:val="0"/>
        <w:adjustRightInd/>
        <w:snapToGrid/>
        <w:spacing w:line="600" w:lineRule="exact"/>
        <w:ind w:firstLine="640" w:firstLineChars="200"/>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九、其它相关事宜</w:t>
      </w:r>
    </w:p>
    <w:p w14:paraId="5F358EC0">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eastAsia" w:ascii="方正仿宋_GBK" w:eastAsia="方正仿宋_GBK"/>
          <w:sz w:val="32"/>
          <w:szCs w:val="32"/>
        </w:rPr>
        <w:t>乙</w:t>
      </w:r>
      <w:r>
        <w:rPr>
          <w:rFonts w:hint="default" w:ascii="Times New Roman" w:hAnsi="Times New Roman" w:eastAsia="方正仿宋_GBK" w:cs="Times New Roman"/>
          <w:sz w:val="32"/>
          <w:szCs w:val="32"/>
        </w:rPr>
        <w:t>方应按相关规定配备运营服务及管理人员，其中至少应包括1名全职管理人员和1名全职运行人员，以上人员必须严格配备，</w:t>
      </w:r>
      <w:r>
        <w:rPr>
          <w:rFonts w:hint="eastAsia" w:ascii="方正仿宋_GBK" w:eastAsia="方正仿宋_GBK"/>
          <w:sz w:val="32"/>
          <w:szCs w:val="32"/>
        </w:rPr>
        <w:t>乙</w:t>
      </w:r>
      <w:r>
        <w:rPr>
          <w:rFonts w:hint="default" w:ascii="Times New Roman" w:hAnsi="Times New Roman" w:eastAsia="方正仿宋_GBK" w:cs="Times New Roman"/>
          <w:sz w:val="32"/>
          <w:szCs w:val="32"/>
        </w:rPr>
        <w:t>方享有对聘用人员的管理、调配权。如</w:t>
      </w:r>
      <w:r>
        <w:rPr>
          <w:rFonts w:hint="eastAsia" w:ascii="方正仿宋_GBK" w:eastAsia="方正仿宋_GBK"/>
          <w:sz w:val="32"/>
          <w:szCs w:val="32"/>
        </w:rPr>
        <w:t>乙</w:t>
      </w:r>
      <w:r>
        <w:rPr>
          <w:rFonts w:hint="default" w:ascii="Times New Roman" w:hAnsi="Times New Roman" w:eastAsia="方正仿宋_GBK" w:cs="Times New Roman"/>
          <w:sz w:val="32"/>
          <w:szCs w:val="32"/>
        </w:rPr>
        <w:t>方未按要求配备，一经甲方发现，甲方扣除当月运营费用，且乙方需向甲方支付违约金=污水一体化处理设施运营一年管理服务费总价/12，如经甲方核查出现两次以上人员缺失的，甲方有权单方解除合同不再支付管理费用，已经支付的管理费用乙方须退还并承担一个月管理费用的违约金。</w:t>
      </w:r>
    </w:p>
    <w:p w14:paraId="2C9A07A0">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本协议提前终止时</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乙方在其全部人员撤离前，应确保甲方相关人员具备基本的运行能力</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确保项目设备、设施的连续运转；资产设施、设备的完好，并做好相关移交。</w:t>
      </w:r>
    </w:p>
    <w:p w14:paraId="15CA5A52">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乙方按照甲方污水处理设施现有的处理工艺进行处理，乙方更改污水处理设施处理工艺需向甲方上报，经甲方研究同意后，乙方才有权更改污水处理设施现有的污水处理工艺。由于更改污水处理设施污水处理工艺产生的所有费用均由乙方承担。</w:t>
      </w:r>
    </w:p>
    <w:p w14:paraId="41948AA7">
      <w:pPr>
        <w:keepNext w:val="0"/>
        <w:keepLines w:val="0"/>
        <w:pageBreakBefore w:val="0"/>
        <w:kinsoku/>
        <w:wordWrap/>
        <w:overflowPunct/>
        <w:topLinePunct w:val="0"/>
        <w:autoSpaceDE/>
        <w:autoSpaceDN/>
        <w:bidi w:val="0"/>
        <w:adjustRightInd/>
        <w:snapToGrid/>
        <w:spacing w:line="600" w:lineRule="exact"/>
        <w:ind w:firstLine="640" w:firstLineChars="200"/>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十、不可抗力</w:t>
      </w:r>
    </w:p>
    <w:p w14:paraId="782CD7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本协议中所指的不可抗力是指：</w:t>
      </w:r>
    </w:p>
    <w:p w14:paraId="2C01B0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（1）雷电、地震、火山爆发、滑坡、水灾、暴雨、海啸、台风、龙卷风或旱灾等自然灾害；</w:t>
      </w:r>
    </w:p>
    <w:p w14:paraId="17DF87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（2）流行病、饥荒或瘟疫；</w:t>
      </w:r>
    </w:p>
    <w:p w14:paraId="781535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（3）战争行为、入侵、武装冲突或外敌行为、封锁或军事力量的使用，暴乱或恐怖行为；</w:t>
      </w:r>
    </w:p>
    <w:p w14:paraId="3FB9B7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（4）全国性、地区性、城市性或行业性罢工；</w:t>
      </w:r>
    </w:p>
    <w:p w14:paraId="1602EF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（5）由于不能归因于乙方的原因引起的连续36小时以上的供电中断；</w:t>
      </w:r>
    </w:p>
    <w:p w14:paraId="2B7E88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（6）国家征用、征收；</w:t>
      </w:r>
    </w:p>
    <w:p w14:paraId="560519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（7）导致本协议实际上不能履行的法律变更。</w:t>
      </w:r>
    </w:p>
    <w:p w14:paraId="63D97F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任何一方如果因不可抗力而导致不能全部或部分履行本协议规定义务的，在不可抗力的影响范围内该方可全部或部分免除在本协议下的相应义务，并不承担任何责任。</w:t>
      </w:r>
    </w:p>
    <w:p w14:paraId="4F0EA69F">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受到不可抗力影响的一方应尽一切合理努力和采取合理措施以继续履行其在本协议下的义务，减少不可抗力对其造成的影响。</w:t>
      </w:r>
      <w:r>
        <w:rPr>
          <w:rFonts w:hint="eastAsia" w:eastAsia="方正仿宋_GBK" w:cs="Times New Roman"/>
          <w:sz w:val="32"/>
          <w:szCs w:val="32"/>
          <w:lang w:val="en-US" w:eastAsia="zh-CN"/>
        </w:rPr>
        <w:t>双</w:t>
      </w:r>
      <w:r>
        <w:rPr>
          <w:rFonts w:hint="default" w:ascii="Times New Roman" w:hAnsi="Times New Roman" w:eastAsia="方正仿宋_GBK" w:cs="Times New Roman"/>
          <w:spacing w:val="-11"/>
          <w:sz w:val="32"/>
          <w:szCs w:val="32"/>
        </w:rPr>
        <w:t>方应协商制定并实施补救计划及合理的替代措施以消除不可抗力的影响。</w:t>
      </w:r>
    </w:p>
    <w:p w14:paraId="6C2C8448">
      <w:pPr>
        <w:keepNext w:val="0"/>
        <w:keepLines w:val="0"/>
        <w:pageBreakBefore w:val="0"/>
        <w:kinsoku/>
        <w:wordWrap/>
        <w:overflowPunct/>
        <w:topLinePunct w:val="0"/>
        <w:autoSpaceDE/>
        <w:autoSpaceDN/>
        <w:bidi w:val="0"/>
        <w:adjustRightInd/>
        <w:snapToGrid/>
        <w:spacing w:line="600" w:lineRule="exact"/>
        <w:ind w:firstLine="640" w:firstLineChars="200"/>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十一、违约责任</w:t>
      </w:r>
    </w:p>
    <w:p w14:paraId="5AC1C7A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乙方违反本合同约定，甲方有权要求乙方限期整改并提前单方解除合同，并按照细则进行处罚，若由此造成甲方经济损失的，一切经济损失由乙方负责。</w:t>
      </w:r>
    </w:p>
    <w:p w14:paraId="1C116D65">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甲、乙</w:t>
      </w:r>
      <w:r>
        <w:rPr>
          <w:rFonts w:hint="eastAsia" w:eastAsia="方正仿宋_GBK" w:cs="Times New Roman"/>
          <w:sz w:val="32"/>
          <w:szCs w:val="32"/>
          <w:lang w:val="en-US" w:eastAsia="zh-CN"/>
        </w:rPr>
        <w:t>双</w:t>
      </w:r>
      <w:r>
        <w:rPr>
          <w:rFonts w:hint="default" w:ascii="Times New Roman" w:hAnsi="Times New Roman" w:eastAsia="方正仿宋_GBK" w:cs="Times New Roman"/>
          <w:sz w:val="32"/>
          <w:szCs w:val="32"/>
        </w:rPr>
        <w:t>方任何一方如无故提前终止合同的，违约方应向守约方支付违约金，违约金=污水一体化处理设施运营一年管理服务费总价/12。若由此给守约方造成的经济损失超过违约金的应按实际损失金额给予赔偿。</w:t>
      </w:r>
    </w:p>
    <w:p w14:paraId="26ECA404">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在协议期内，除不可抗力因素和甲方以外造成的责任全权由乙方承担一切经济损失及一切法律责任。</w:t>
      </w:r>
    </w:p>
    <w:p w14:paraId="0637E029">
      <w:pPr>
        <w:keepNext w:val="0"/>
        <w:keepLines w:val="0"/>
        <w:pageBreakBefore w:val="0"/>
        <w:kinsoku/>
        <w:wordWrap/>
        <w:overflowPunct/>
        <w:topLinePunct w:val="0"/>
        <w:autoSpaceDE/>
        <w:autoSpaceDN/>
        <w:bidi w:val="0"/>
        <w:adjustRightInd/>
        <w:snapToGrid/>
        <w:spacing w:line="600" w:lineRule="exact"/>
        <w:ind w:firstLine="640" w:firstLineChars="200"/>
        <w:outlineLvl w:val="0"/>
        <w:rPr>
          <w:rFonts w:hint="default" w:ascii="Times New Roman" w:hAnsi="Times New Roman" w:eastAsia="方正黑体_GBK" w:cs="Times New Roman"/>
          <w:sz w:val="32"/>
          <w:szCs w:val="32"/>
        </w:rPr>
      </w:pPr>
      <w:bookmarkStart w:id="1" w:name="_Toc260163173"/>
      <w:r>
        <w:rPr>
          <w:rFonts w:hint="default" w:ascii="Times New Roman" w:hAnsi="Times New Roman" w:eastAsia="方正黑体_GBK" w:cs="Times New Roman"/>
          <w:sz w:val="32"/>
          <w:szCs w:val="32"/>
        </w:rPr>
        <w:t>十二、争议的解决</w:t>
      </w:r>
      <w:bookmarkEnd w:id="1"/>
    </w:p>
    <w:p w14:paraId="204EC3AF">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bookmarkStart w:id="2" w:name="_Toc260163176"/>
      <w:r>
        <w:rPr>
          <w:rFonts w:hint="default" w:ascii="Times New Roman" w:hAnsi="Times New Roman" w:eastAsia="方正仿宋_GBK" w:cs="Times New Roman"/>
          <w:sz w:val="32"/>
          <w:szCs w:val="32"/>
        </w:rPr>
        <w:t>1.有关本合同的所有争议，</w:t>
      </w:r>
      <w:r>
        <w:rPr>
          <w:rFonts w:hint="eastAsia" w:eastAsia="方正仿宋_GBK" w:cs="Times New Roman"/>
          <w:sz w:val="32"/>
          <w:szCs w:val="32"/>
          <w:lang w:val="en-US" w:eastAsia="zh-CN"/>
        </w:rPr>
        <w:t>双</w:t>
      </w:r>
      <w:r>
        <w:rPr>
          <w:rFonts w:hint="default" w:ascii="Times New Roman" w:hAnsi="Times New Roman" w:eastAsia="方正仿宋_GBK" w:cs="Times New Roman"/>
          <w:sz w:val="32"/>
          <w:szCs w:val="32"/>
        </w:rPr>
        <w:t>方应本着友好协商的原则处理，协商不成的，</w:t>
      </w:r>
      <w:r>
        <w:rPr>
          <w:rFonts w:hint="eastAsia" w:eastAsia="方正仿宋_GBK" w:cs="Times New Roman"/>
          <w:sz w:val="32"/>
          <w:szCs w:val="32"/>
          <w:lang w:val="en-US" w:eastAsia="zh-CN"/>
        </w:rPr>
        <w:t>双</w:t>
      </w:r>
      <w:r>
        <w:rPr>
          <w:rFonts w:hint="default" w:ascii="Times New Roman" w:hAnsi="Times New Roman" w:eastAsia="方正仿宋_GBK" w:cs="Times New Roman"/>
          <w:sz w:val="32"/>
          <w:szCs w:val="32"/>
        </w:rPr>
        <w:t>方均有权向甲方所在地有管辖权的人民法院起诉。</w:t>
      </w:r>
    </w:p>
    <w:p w14:paraId="4B83F464">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2.本协议甲</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乙</w:t>
      </w:r>
      <w:r>
        <w:rPr>
          <w:rFonts w:hint="eastAsia" w:eastAsia="方正仿宋_GBK" w:cs="Times New Roman"/>
          <w:sz w:val="32"/>
          <w:szCs w:val="32"/>
          <w:lang w:val="en-US" w:eastAsia="zh-CN"/>
        </w:rPr>
        <w:t>双</w:t>
      </w:r>
      <w:r>
        <w:rPr>
          <w:rFonts w:hint="default" w:ascii="Times New Roman" w:hAnsi="Times New Roman" w:eastAsia="方正仿宋_GBK" w:cs="Times New Roman"/>
          <w:sz w:val="32"/>
          <w:szCs w:val="32"/>
        </w:rPr>
        <w:t>方预留的地址即为</w:t>
      </w:r>
      <w:r>
        <w:rPr>
          <w:rFonts w:hint="eastAsia" w:eastAsia="方正仿宋_GBK" w:cs="Times New Roman"/>
          <w:sz w:val="32"/>
          <w:szCs w:val="32"/>
          <w:lang w:val="en-US" w:eastAsia="zh-CN"/>
        </w:rPr>
        <w:t>双</w:t>
      </w:r>
      <w:r>
        <w:rPr>
          <w:rFonts w:hint="default" w:ascii="Times New Roman" w:hAnsi="Times New Roman" w:eastAsia="方正仿宋_GBK" w:cs="Times New Roman"/>
          <w:sz w:val="32"/>
          <w:szCs w:val="32"/>
        </w:rPr>
        <w:t>方司法文书送达地址，该地址可用于收取方各类诉讼、仲裁等司法文书，按上述地址送达的，即视为签收。</w:t>
      </w:r>
    </w:p>
    <w:p w14:paraId="7ADCD140">
      <w:pPr>
        <w:keepNext w:val="0"/>
        <w:keepLines w:val="0"/>
        <w:pageBreakBefore w:val="0"/>
        <w:kinsoku/>
        <w:wordWrap/>
        <w:overflowPunct/>
        <w:topLinePunct w:val="0"/>
        <w:autoSpaceDE/>
        <w:autoSpaceDN/>
        <w:bidi w:val="0"/>
        <w:adjustRightInd/>
        <w:snapToGrid/>
        <w:spacing w:line="600" w:lineRule="exact"/>
        <w:ind w:firstLine="640" w:firstLineChars="200"/>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十三、附则</w:t>
      </w:r>
    </w:p>
    <w:p w14:paraId="4662A1C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1.由于政府部门管理所需并发正式文件要求新增设备设施或进行技术改造等，产生的费用由甲方承担。</w:t>
      </w:r>
    </w:p>
    <w:p w14:paraId="195EC865">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2.本协议经甲</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乙</w:t>
      </w:r>
      <w:r>
        <w:rPr>
          <w:rFonts w:hint="eastAsia" w:eastAsia="方正仿宋_GBK" w:cs="Times New Roman"/>
          <w:sz w:val="32"/>
          <w:szCs w:val="32"/>
          <w:lang w:val="en-US" w:eastAsia="zh-CN"/>
        </w:rPr>
        <w:t>双</w:t>
      </w:r>
      <w:r>
        <w:rPr>
          <w:rFonts w:hint="default" w:ascii="Times New Roman" w:hAnsi="Times New Roman" w:eastAsia="方正仿宋_GBK" w:cs="Times New Roman"/>
          <w:sz w:val="32"/>
          <w:szCs w:val="32"/>
        </w:rPr>
        <w:t>方签字盖章后即生效，未尽事宜，由</w:t>
      </w:r>
      <w:r>
        <w:rPr>
          <w:rFonts w:hint="eastAsia" w:eastAsia="方正仿宋_GBK" w:cs="Times New Roman"/>
          <w:sz w:val="32"/>
          <w:szCs w:val="32"/>
          <w:lang w:val="en-US" w:eastAsia="zh-CN"/>
        </w:rPr>
        <w:t>双</w:t>
      </w:r>
      <w:r>
        <w:rPr>
          <w:rFonts w:hint="default" w:ascii="Times New Roman" w:hAnsi="Times New Roman" w:eastAsia="方正仿宋_GBK" w:cs="Times New Roman"/>
          <w:sz w:val="32"/>
          <w:szCs w:val="32"/>
        </w:rPr>
        <w:t>方达成补充协议，补充协议与本协议具有同等法律效力。</w:t>
      </w:r>
    </w:p>
    <w:p w14:paraId="410EB79B">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3.本协议一式</w:t>
      </w:r>
      <w:r>
        <w:rPr>
          <w:rFonts w:hint="eastAsia" w:eastAsia="方正仿宋_GBK" w:cs="Times New Roman"/>
          <w:sz w:val="32"/>
          <w:szCs w:val="32"/>
          <w:lang w:val="en-US" w:eastAsia="zh-CN"/>
        </w:rPr>
        <w:t>捌</w:t>
      </w:r>
      <w:r>
        <w:rPr>
          <w:rFonts w:hint="default" w:ascii="Times New Roman" w:hAnsi="Times New Roman" w:eastAsia="方正仿宋_GBK" w:cs="Times New Roman"/>
          <w:sz w:val="32"/>
          <w:szCs w:val="32"/>
        </w:rPr>
        <w:t>份，甲方</w:t>
      </w:r>
      <w:r>
        <w:rPr>
          <w:rFonts w:hint="eastAsia" w:eastAsia="方正仿宋_GBK" w:cs="Times New Roman"/>
          <w:sz w:val="32"/>
          <w:szCs w:val="32"/>
          <w:lang w:val="en-US" w:eastAsia="zh-CN"/>
        </w:rPr>
        <w:t>肆</w:t>
      </w:r>
      <w:r>
        <w:rPr>
          <w:rFonts w:hint="default" w:ascii="Times New Roman" w:hAnsi="Times New Roman" w:eastAsia="方正仿宋_GBK" w:cs="Times New Roman"/>
          <w:sz w:val="32"/>
          <w:szCs w:val="32"/>
        </w:rPr>
        <w:t>份，乙方肆份。</w:t>
      </w:r>
      <w:bookmarkEnd w:id="2"/>
    </w:p>
    <w:p w14:paraId="319F4F61">
      <w:pPr>
        <w:keepNext w:val="0"/>
        <w:keepLines w:val="0"/>
        <w:pageBreakBefore w:val="0"/>
        <w:kinsoku/>
        <w:wordWrap/>
        <w:overflowPunct/>
        <w:topLinePunct w:val="0"/>
        <w:autoSpaceDE/>
        <w:autoSpaceDN/>
        <w:bidi w:val="0"/>
        <w:adjustRightInd/>
        <w:snapToGrid/>
        <w:spacing w:line="600" w:lineRule="exact"/>
        <w:ind w:firstLine="640" w:firstLineChars="200"/>
        <w:rPr>
          <w:rFonts w:eastAsia="方正仿宋_GBK"/>
          <w:sz w:val="32"/>
          <w:szCs w:val="32"/>
          <w:lang w:val="sq-AL"/>
        </w:rPr>
      </w:pPr>
      <w:r>
        <w:rPr>
          <w:rFonts w:eastAsia="方正仿宋_GBK"/>
          <w:sz w:val="32"/>
          <w:szCs w:val="32"/>
          <w:lang w:val="sq-AL"/>
        </w:rPr>
        <w:t>（以下无正文）</w:t>
      </w:r>
    </w:p>
    <w:p w14:paraId="51943D6E">
      <w:pPr>
        <w:rPr>
          <w:rFonts w:ascii="方正仿宋_GBK" w:eastAsia="方正仿宋_GBK" w:hAnsiTheme="minorHAnsi" w:cstheme="minorBidi"/>
          <w:sz w:val="32"/>
          <w:szCs w:val="32"/>
          <w:lang w:val="sq-AL"/>
        </w:rPr>
      </w:pPr>
      <w:r>
        <w:rPr>
          <w:rFonts w:hint="eastAsia" w:ascii="方正仿宋_GBK" w:eastAsia="方正仿宋_GBK" w:hAnsiTheme="minorHAnsi" w:cstheme="minorBidi"/>
          <w:sz w:val="32"/>
          <w:szCs w:val="32"/>
          <w:lang w:val="sq-AL"/>
        </w:rPr>
        <w:br w:type="page"/>
      </w:r>
    </w:p>
    <w:p w14:paraId="467A6CFD">
      <w:pPr>
        <w:spacing w:line="360" w:lineRule="auto"/>
        <w:rPr>
          <w:rFonts w:ascii="宋体" w:hAnsi="宋体"/>
          <w:szCs w:val="20"/>
        </w:rPr>
      </w:pPr>
    </w:p>
    <w:tbl>
      <w:tblPr>
        <w:tblStyle w:val="13"/>
        <w:tblW w:w="102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30"/>
        <w:gridCol w:w="4837"/>
      </w:tblGrid>
      <w:tr w14:paraId="3739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430" w:type="dxa"/>
            <w:vAlign w:val="center"/>
          </w:tcPr>
          <w:p w14:paraId="0B21669A">
            <w:pPr>
              <w:pStyle w:val="10"/>
              <w:jc w:val="both"/>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项目业主（甲方）：</w:t>
            </w:r>
          </w:p>
        </w:tc>
        <w:tc>
          <w:tcPr>
            <w:tcW w:w="4837" w:type="dxa"/>
            <w:vAlign w:val="center"/>
          </w:tcPr>
          <w:p w14:paraId="1ABDA19D">
            <w:pPr>
              <w:pStyle w:val="10"/>
              <w:jc w:val="both"/>
              <w:rPr>
                <w:rFonts w:ascii="方正黑体_GBK" w:hAnsi="方正黑体_GBK" w:eastAsia="方正黑体_GBK" w:cs="方正黑体_GBK"/>
                <w:caps/>
                <w:kern w:val="2"/>
                <w:sz w:val="21"/>
                <w:szCs w:val="21"/>
                <w:lang w:val="en-US" w:eastAsia="zh-CN" w:bidi="ar-SA"/>
              </w:rPr>
            </w:pPr>
            <w:r>
              <w:rPr>
                <w:rFonts w:hint="eastAsia" w:ascii="方正黑体_GBK" w:hAnsi="方正黑体_GBK" w:eastAsia="方正黑体_GBK" w:cs="方正黑体_GBK"/>
                <w:sz w:val="21"/>
                <w:szCs w:val="21"/>
              </w:rPr>
              <w:t>服务单位（</w:t>
            </w:r>
            <w:r>
              <w:rPr>
                <w:rFonts w:hint="eastAsia" w:ascii="方正黑体_GBK" w:hAnsi="方正黑体_GBK" w:eastAsia="方正黑体_GBK" w:cs="方正黑体_GBK"/>
                <w:sz w:val="21"/>
                <w:szCs w:val="21"/>
                <w:lang w:val="en-US" w:eastAsia="zh-CN"/>
              </w:rPr>
              <w:t>乙</w:t>
            </w:r>
            <w:r>
              <w:rPr>
                <w:rFonts w:hint="eastAsia" w:ascii="方正黑体_GBK" w:hAnsi="方正黑体_GBK" w:eastAsia="方正黑体_GBK" w:cs="方正黑体_GBK"/>
                <w:sz w:val="21"/>
                <w:szCs w:val="21"/>
              </w:rPr>
              <w:t>方）：</w:t>
            </w:r>
          </w:p>
        </w:tc>
      </w:tr>
      <w:tr w14:paraId="5691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430" w:type="dxa"/>
            <w:vAlign w:val="center"/>
          </w:tcPr>
          <w:p w14:paraId="05FEDD97">
            <w:pPr>
              <w:pStyle w:val="10"/>
              <w:jc w:val="both"/>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法定代表人：</w:t>
            </w:r>
          </w:p>
        </w:tc>
        <w:tc>
          <w:tcPr>
            <w:tcW w:w="4837" w:type="dxa"/>
            <w:vAlign w:val="center"/>
          </w:tcPr>
          <w:p w14:paraId="60E27D2E">
            <w:pPr>
              <w:pStyle w:val="11"/>
              <w:widowControl w:val="0"/>
              <w:snapToGrid w:val="0"/>
              <w:spacing w:line="440" w:lineRule="exact"/>
              <w:jc w:val="both"/>
              <w:rPr>
                <w:rFonts w:ascii="方正黑体_GBK" w:hAnsi="方正黑体_GBK" w:eastAsia="方正黑体_GBK" w:cs="方正黑体_GBK"/>
                <w:sz w:val="21"/>
                <w:szCs w:val="21"/>
                <w:lang w:val="en-US" w:eastAsia="zh-CN" w:bidi="ar-SA"/>
              </w:rPr>
            </w:pPr>
            <w:r>
              <w:rPr>
                <w:rFonts w:ascii="方正黑体_GBK" w:hAnsi="方正黑体_GBK" w:eastAsia="方正黑体_GBK" w:cs="方正黑体_GBK"/>
                <w:sz w:val="21"/>
                <w:szCs w:val="21"/>
              </w:rPr>
              <w:t>地址：</w:t>
            </w:r>
          </w:p>
        </w:tc>
      </w:tr>
      <w:tr w14:paraId="405B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430" w:type="dxa"/>
            <w:vAlign w:val="center"/>
          </w:tcPr>
          <w:p w14:paraId="12E53D03">
            <w:pPr>
              <w:pStyle w:val="11"/>
              <w:widowControl w:val="0"/>
              <w:snapToGrid w:val="0"/>
              <w:spacing w:line="440" w:lineRule="exact"/>
              <w:jc w:val="both"/>
              <w:rPr>
                <w:rFonts w:ascii="方正黑体_GBK" w:hAnsi="方正黑体_GBK" w:eastAsia="方正黑体_GBK" w:cs="方正黑体_GBK"/>
                <w:sz w:val="21"/>
                <w:szCs w:val="21"/>
              </w:rPr>
            </w:pPr>
            <w:r>
              <w:rPr>
                <w:rFonts w:ascii="方正黑体_GBK" w:hAnsi="方正黑体_GBK" w:eastAsia="方正黑体_GBK" w:cs="方正黑体_GBK"/>
                <w:sz w:val="21"/>
                <w:szCs w:val="21"/>
              </w:rPr>
              <w:t>经办人：</w:t>
            </w:r>
          </w:p>
        </w:tc>
        <w:tc>
          <w:tcPr>
            <w:tcW w:w="4837" w:type="dxa"/>
            <w:vAlign w:val="center"/>
          </w:tcPr>
          <w:p w14:paraId="5A558B84">
            <w:pPr>
              <w:pStyle w:val="11"/>
              <w:widowControl w:val="0"/>
              <w:snapToGrid w:val="0"/>
              <w:spacing w:line="440" w:lineRule="exact"/>
              <w:jc w:val="both"/>
              <w:rPr>
                <w:rFonts w:ascii="方正黑体_GBK" w:hAnsi="方正黑体_GBK" w:eastAsia="方正黑体_GBK" w:cs="方正黑体_GBK"/>
                <w:sz w:val="21"/>
                <w:szCs w:val="21"/>
                <w:lang w:val="en-US" w:eastAsia="zh-CN" w:bidi="ar-SA"/>
              </w:rPr>
            </w:pPr>
            <w:r>
              <w:rPr>
                <w:rFonts w:ascii="方正黑体_GBK" w:hAnsi="方正黑体_GBK" w:eastAsia="方正黑体_GBK" w:cs="方正黑体_GBK"/>
                <w:sz w:val="21"/>
                <w:szCs w:val="21"/>
              </w:rPr>
              <w:t>法定代表人：</w:t>
            </w:r>
          </w:p>
        </w:tc>
      </w:tr>
      <w:tr w14:paraId="350C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430" w:type="dxa"/>
            <w:vAlign w:val="center"/>
          </w:tcPr>
          <w:p w14:paraId="40A3C23C">
            <w:pPr>
              <w:pStyle w:val="10"/>
              <w:jc w:val="both"/>
              <w:rPr>
                <w:rFonts w:ascii="方正黑体_GBK" w:hAnsi="方正黑体_GBK" w:eastAsia="方正黑体_GBK" w:cs="方正黑体_GBK"/>
                <w:sz w:val="21"/>
                <w:szCs w:val="21"/>
              </w:rPr>
            </w:pPr>
          </w:p>
        </w:tc>
        <w:tc>
          <w:tcPr>
            <w:tcW w:w="4837" w:type="dxa"/>
            <w:vAlign w:val="center"/>
          </w:tcPr>
          <w:p w14:paraId="5ED203E9">
            <w:pPr>
              <w:spacing w:line="440" w:lineRule="exact"/>
              <w:rPr>
                <w:rFonts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szCs w:val="21"/>
              </w:rPr>
              <w:t>委托代理人：</w:t>
            </w:r>
          </w:p>
        </w:tc>
      </w:tr>
      <w:tr w14:paraId="7BCD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430" w:type="dxa"/>
            <w:vAlign w:val="center"/>
          </w:tcPr>
          <w:p w14:paraId="083F0260">
            <w:pPr>
              <w:pStyle w:val="11"/>
              <w:widowControl w:val="0"/>
              <w:snapToGrid w:val="0"/>
              <w:spacing w:line="440" w:lineRule="exact"/>
              <w:jc w:val="both"/>
              <w:rPr>
                <w:rFonts w:ascii="方正黑体_GBK" w:hAnsi="方正黑体_GBK" w:eastAsia="方正黑体_GBK" w:cs="方正黑体_GBK"/>
                <w:sz w:val="21"/>
                <w:szCs w:val="21"/>
              </w:rPr>
            </w:pPr>
          </w:p>
        </w:tc>
        <w:tc>
          <w:tcPr>
            <w:tcW w:w="4837" w:type="dxa"/>
            <w:vAlign w:val="center"/>
          </w:tcPr>
          <w:p w14:paraId="31BDE475">
            <w:pPr>
              <w:spacing w:line="440" w:lineRule="exact"/>
              <w:rPr>
                <w:rFonts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szCs w:val="21"/>
              </w:rPr>
              <w:t>帐号：</w:t>
            </w:r>
          </w:p>
        </w:tc>
      </w:tr>
      <w:tr w14:paraId="635A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430" w:type="dxa"/>
            <w:vAlign w:val="center"/>
          </w:tcPr>
          <w:p w14:paraId="78996A86">
            <w:pPr>
              <w:pStyle w:val="11"/>
              <w:widowControl w:val="0"/>
              <w:snapToGrid w:val="0"/>
              <w:spacing w:line="440" w:lineRule="exact"/>
              <w:jc w:val="both"/>
              <w:rPr>
                <w:rFonts w:ascii="方正黑体_GBK" w:hAnsi="方正黑体_GBK" w:eastAsia="方正黑体_GBK" w:cs="方正黑体_GBK"/>
                <w:sz w:val="21"/>
                <w:szCs w:val="21"/>
              </w:rPr>
            </w:pPr>
          </w:p>
        </w:tc>
        <w:tc>
          <w:tcPr>
            <w:tcW w:w="4837" w:type="dxa"/>
            <w:vAlign w:val="center"/>
          </w:tcPr>
          <w:p w14:paraId="4D2AEF6C">
            <w:pPr>
              <w:pStyle w:val="10"/>
              <w:jc w:val="both"/>
              <w:rPr>
                <w:rFonts w:ascii="方正黑体_GBK" w:hAnsi="方正黑体_GBK" w:eastAsia="方正黑体_GBK" w:cs="方正黑体_GBK"/>
                <w:caps/>
                <w:kern w:val="2"/>
                <w:sz w:val="21"/>
                <w:szCs w:val="21"/>
                <w:lang w:val="en-US" w:eastAsia="zh-CN" w:bidi="ar-SA"/>
              </w:rPr>
            </w:pPr>
            <w:r>
              <w:rPr>
                <w:rFonts w:hint="eastAsia" w:ascii="方正黑体_GBK" w:hAnsi="方正黑体_GBK" w:eastAsia="方正黑体_GBK" w:cs="方正黑体_GBK"/>
                <w:sz w:val="21"/>
                <w:szCs w:val="21"/>
              </w:rPr>
              <w:t>开户行：</w:t>
            </w:r>
          </w:p>
        </w:tc>
      </w:tr>
      <w:tr w14:paraId="200C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430" w:type="dxa"/>
            <w:vAlign w:val="center"/>
          </w:tcPr>
          <w:p w14:paraId="4A308987">
            <w:pPr>
              <w:spacing w:line="440" w:lineRule="exact"/>
              <w:rPr>
                <w:rFonts w:ascii="方正黑体_GBK" w:hAnsi="方正黑体_GBK" w:eastAsia="方正黑体_GBK" w:cs="方正黑体_GBK"/>
                <w:szCs w:val="21"/>
              </w:rPr>
            </w:pPr>
          </w:p>
        </w:tc>
        <w:tc>
          <w:tcPr>
            <w:tcW w:w="4837" w:type="dxa"/>
            <w:vAlign w:val="center"/>
          </w:tcPr>
          <w:p w14:paraId="498C32E6">
            <w:pPr>
              <w:pStyle w:val="10"/>
              <w:jc w:val="both"/>
              <w:rPr>
                <w:rFonts w:ascii="方正黑体_GBK" w:hAnsi="方正黑体_GBK" w:eastAsia="方正黑体_GBK" w:cs="方正黑体_GBK"/>
                <w:sz w:val="21"/>
                <w:szCs w:val="21"/>
              </w:rPr>
            </w:pPr>
          </w:p>
        </w:tc>
      </w:tr>
      <w:tr w14:paraId="2CB5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430" w:type="dxa"/>
            <w:vAlign w:val="center"/>
          </w:tcPr>
          <w:p w14:paraId="6D1D55FA">
            <w:pPr>
              <w:spacing w:line="440" w:lineRule="exact"/>
              <w:rPr>
                <w:rFonts w:ascii="方正黑体_GBK" w:hAnsi="方正黑体_GBK" w:eastAsia="方正黑体_GBK" w:cs="方正黑体_GBK"/>
                <w:szCs w:val="21"/>
              </w:rPr>
            </w:pPr>
          </w:p>
        </w:tc>
        <w:tc>
          <w:tcPr>
            <w:tcW w:w="4837" w:type="dxa"/>
            <w:vAlign w:val="center"/>
          </w:tcPr>
          <w:p w14:paraId="59B905A5">
            <w:pPr>
              <w:pStyle w:val="10"/>
              <w:jc w:val="both"/>
              <w:rPr>
                <w:rFonts w:ascii="方正黑体_GBK" w:hAnsi="方正黑体_GBK" w:eastAsia="方正黑体_GBK" w:cs="方正黑体_GBK"/>
                <w:sz w:val="21"/>
                <w:szCs w:val="21"/>
              </w:rPr>
            </w:pPr>
          </w:p>
        </w:tc>
      </w:tr>
      <w:tr w14:paraId="0653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5430" w:type="dxa"/>
            <w:vAlign w:val="center"/>
          </w:tcPr>
          <w:p w14:paraId="58E42FA5">
            <w:pPr>
              <w:pStyle w:val="10"/>
              <w:jc w:val="both"/>
              <w:rPr>
                <w:rFonts w:ascii="方正黑体_GBK" w:hAnsi="方正黑体_GBK" w:eastAsia="方正黑体_GBK" w:cs="方正黑体_GBK"/>
                <w:sz w:val="21"/>
                <w:szCs w:val="21"/>
              </w:rPr>
            </w:pPr>
          </w:p>
        </w:tc>
        <w:tc>
          <w:tcPr>
            <w:tcW w:w="4837" w:type="dxa"/>
            <w:vAlign w:val="center"/>
          </w:tcPr>
          <w:p w14:paraId="323C6F58">
            <w:pPr>
              <w:pStyle w:val="10"/>
              <w:jc w:val="both"/>
              <w:rPr>
                <w:rFonts w:ascii="方正黑体_GBK" w:hAnsi="方正黑体_GBK" w:eastAsia="方正黑体_GBK" w:cs="方正黑体_GBK"/>
                <w:sz w:val="21"/>
                <w:szCs w:val="21"/>
              </w:rPr>
            </w:pPr>
          </w:p>
        </w:tc>
      </w:tr>
      <w:tr w14:paraId="443D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10267" w:type="dxa"/>
            <w:gridSpan w:val="2"/>
            <w:vAlign w:val="bottom"/>
          </w:tcPr>
          <w:p w14:paraId="5B5A19EB">
            <w:pPr>
              <w:spacing w:line="360" w:lineRule="auto"/>
              <w:jc w:val="center"/>
              <w:rPr>
                <w:rFonts w:ascii="方正黑体_GBK" w:hAnsi="方正黑体_GBK" w:eastAsia="方正黑体_GBK" w:cs="方正黑体_GBK"/>
                <w:szCs w:val="21"/>
              </w:rPr>
            </w:pPr>
            <w:r>
              <w:rPr>
                <w:rFonts w:hint="eastAsia" w:ascii="方正黑体_GBK" w:hAnsi="方正黑体_GBK" w:eastAsia="方正黑体_GBK" w:cs="方正黑体_GBK"/>
                <w:snapToGrid w:val="0"/>
                <w:kern w:val="0"/>
                <w:szCs w:val="21"/>
              </w:rPr>
              <w:t>签约时间：</w:t>
            </w:r>
            <w:r>
              <w:rPr>
                <w:rFonts w:hint="eastAsia" w:ascii="方正黑体_GBK" w:hAnsi="方正黑体_GBK" w:eastAsia="方正黑体_GBK" w:cs="方正黑体_GBK"/>
                <w:snapToGrid w:val="0"/>
                <w:kern w:val="0"/>
                <w:szCs w:val="21"/>
                <w:u w:val="single"/>
              </w:rPr>
              <w:t xml:space="preserve">     </w:t>
            </w:r>
            <w:r>
              <w:rPr>
                <w:rFonts w:hint="eastAsia" w:ascii="方正黑体_GBK" w:hAnsi="方正黑体_GBK" w:eastAsia="方正黑体_GBK" w:cs="方正黑体_GBK"/>
                <w:snapToGrid w:val="0"/>
                <w:kern w:val="0"/>
                <w:szCs w:val="21"/>
              </w:rPr>
              <w:t>年</w:t>
            </w:r>
            <w:r>
              <w:rPr>
                <w:rFonts w:hint="eastAsia" w:ascii="方正黑体_GBK" w:hAnsi="方正黑体_GBK" w:eastAsia="方正黑体_GBK" w:cs="方正黑体_GBK"/>
                <w:snapToGrid w:val="0"/>
                <w:kern w:val="0"/>
                <w:szCs w:val="21"/>
                <w:u w:val="single"/>
              </w:rPr>
              <w:t xml:space="preserve">     </w:t>
            </w:r>
            <w:r>
              <w:rPr>
                <w:rFonts w:hint="eastAsia" w:ascii="方正黑体_GBK" w:hAnsi="方正黑体_GBK" w:eastAsia="方正黑体_GBK" w:cs="方正黑体_GBK"/>
                <w:snapToGrid w:val="0"/>
                <w:kern w:val="0"/>
                <w:szCs w:val="21"/>
              </w:rPr>
              <w:t>月</w:t>
            </w:r>
            <w:r>
              <w:rPr>
                <w:rFonts w:hint="eastAsia" w:ascii="方正黑体_GBK" w:hAnsi="方正黑体_GBK" w:eastAsia="方正黑体_GBK" w:cs="方正黑体_GBK"/>
                <w:snapToGrid w:val="0"/>
                <w:kern w:val="0"/>
                <w:szCs w:val="21"/>
                <w:u w:val="single"/>
              </w:rPr>
              <w:t xml:space="preserve">     </w:t>
            </w:r>
            <w:r>
              <w:rPr>
                <w:rFonts w:hint="eastAsia" w:ascii="方正黑体_GBK" w:hAnsi="方正黑体_GBK" w:eastAsia="方正黑体_GBK" w:cs="方正黑体_GBK"/>
                <w:snapToGrid w:val="0"/>
                <w:kern w:val="0"/>
                <w:szCs w:val="21"/>
              </w:rPr>
              <w:t>日</w:t>
            </w:r>
          </w:p>
        </w:tc>
      </w:tr>
    </w:tbl>
    <w:p w14:paraId="3349A1E8">
      <w:pPr>
        <w:pStyle w:val="7"/>
        <w:spacing w:before="0" w:after="0" w:line="240" w:lineRule="auto"/>
      </w:pPr>
    </w:p>
    <w:p w14:paraId="7733994F">
      <w:pPr>
        <w:spacing w:line="560" w:lineRule="exact"/>
        <w:jc w:val="left"/>
        <w:rPr>
          <w:rFonts w:hint="eastAsia" w:ascii="宋体" w:hAnsi="宋体" w:eastAsia="宋体" w:cs="宋体"/>
          <w:b/>
          <w:bCs/>
          <w:sz w:val="32"/>
          <w:szCs w:val="32"/>
          <w:lang w:val="en-US" w:eastAsia="zh-CN"/>
        </w:rPr>
      </w:pPr>
    </w:p>
    <w:p w14:paraId="7A93C1E6">
      <w:bookmarkStart w:id="3" w:name="_GoBack"/>
      <w:bookmarkEnd w:id="3"/>
    </w:p>
    <w:sectPr>
      <w:footerReference r:id="rId6" w:type="default"/>
      <w:pgSz w:w="11906" w:h="16838"/>
      <w:pgMar w:top="2098" w:right="1531" w:bottom="1985"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DejaVu Math TeX Gyre"/>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4F96A">
    <w:pPr>
      <w:pStyle w:val="8"/>
    </w:pPr>
    <w:r>
      <w:rPr>
        <w:lang w:val="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745C5">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8A745C5">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1F2F">
    <w:pPr>
      <w:pStyle w:val="8"/>
    </w:pPr>
    <w:r>
      <w:rPr>
        <w:lang w:val="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6A170">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046A170">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677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F9C3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6F9C3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0758">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47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semiHidden/>
    <w:unhideWhenUsed/>
    <w:qFormat/>
    <w:uiPriority w:val="99"/>
    <w:pPr>
      <w:ind w:firstLine="420" w:firstLineChars="100"/>
    </w:pPr>
  </w:style>
  <w:style w:type="paragraph" w:styleId="3">
    <w:name w:val="Body Text"/>
    <w:basedOn w:val="1"/>
    <w:next w:val="4"/>
    <w:qFormat/>
    <w:uiPriority w:val="0"/>
    <w:pPr>
      <w:spacing w:after="120"/>
    </w:pPr>
    <w:rPr>
      <w:rFonts w:ascii="Times New Roman" w:hAnsi="Times New Roman" w:eastAsia="宋体" w:cs="Times New Roman"/>
      <w:szCs w:val="24"/>
    </w:rPr>
  </w:style>
  <w:style w:type="paragraph" w:customStyle="1" w:styleId="4">
    <w:name w:val="默认"/>
    <w:qFormat/>
    <w:uiPriority w:val="0"/>
    <w:rPr>
      <w:rFonts w:ascii="Helvetica Neue" w:hAnsi="Arial Unicode MS" w:eastAsia="Helvetica Neue" w:cs="Times New Roman"/>
      <w:color w:val="000000"/>
      <w:sz w:val="22"/>
      <w:szCs w:val="22"/>
      <w:lang w:val="zh-CN" w:eastAsia="zh-CN" w:bidi="ar-SA"/>
    </w:rPr>
  </w:style>
  <w:style w:type="paragraph" w:styleId="5">
    <w:name w:val="Body Text First Indent 2"/>
    <w:basedOn w:val="6"/>
    <w:qFormat/>
    <w:uiPriority w:val="0"/>
    <w:pPr>
      <w:spacing w:after="120" w:line="240" w:lineRule="auto"/>
      <w:ind w:left="420" w:leftChars="200" w:firstLine="420" w:firstLineChars="200"/>
    </w:pPr>
  </w:style>
  <w:style w:type="paragraph" w:styleId="6">
    <w:name w:val="Body Text Indent"/>
    <w:basedOn w:val="1"/>
    <w:qFormat/>
    <w:uiPriority w:val="0"/>
    <w:pPr>
      <w:spacing w:line="700" w:lineRule="exact"/>
      <w:ind w:left="960"/>
    </w:pPr>
    <w:rPr>
      <w:sz w:val="4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next w:val="1"/>
    <w:qFormat/>
    <w:uiPriority w:val="39"/>
    <w:pPr>
      <w:widowControl w:val="0"/>
      <w:spacing w:before="120" w:after="120"/>
    </w:pPr>
    <w:rPr>
      <w:rFonts w:ascii="Times New Roman" w:hAnsi="Times New Roman" w:eastAsia="宋体" w:cs="Times New Roman"/>
      <w:caps/>
      <w:kern w:val="2"/>
      <w:lang w:val="en-US" w:eastAsia="zh-CN" w:bidi="ar-SA"/>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2025-11-25T02:07:44Z</dcterms:created>
  <dc:creator>Admin</dc:creator>
  <cp:lastModifiedBy>天尘飞雨</cp:lastModifiedBy>
  <dcterms:modified xsi:type="dcterms:W3CDTF">2025-11-25T02:07:55Z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eyJoZGlkIjoiZGFiYjhhNmI4MDhiZTJhNTNjYjAzYzM2NDY1YzlkY2EiLCJ1c2VySWQiOiIyNDMxOTkzNDUifQ==</vt:lpwstr>
  </property>
  <property fmtid="{D5CDD505-2E9C-101B-9397-08002B2CF9AE}" pid="4" name="ICV">
    <vt:lpwstr>FF8948BD944F4C4BB27CCFE8DBFA9FE5_12</vt:lpwstr>
  </property>
</Properties>
</file>