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44"/>
        </w:rPr>
        <w:t>投标人须知</w:t>
      </w:r>
    </w:p>
    <w:p>
      <w:pPr>
        <w:spacing w:line="60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竞争性谈判条件</w:t>
      </w:r>
    </w:p>
    <w:p>
      <w:pPr>
        <w:spacing w:line="600" w:lineRule="exact"/>
        <w:ind w:firstLine="640" w:firstLineChars="200"/>
        <w:rPr>
          <w:rFonts w:hint="eastAsia" w:ascii="方正仿宋_GBK" w:hAnsi="Calibri" w:eastAsia="方正仿宋_GBK" w:cs="方正仿宋_GBK"/>
          <w:sz w:val="32"/>
          <w:szCs w:val="32"/>
          <w:u w:val="none"/>
        </w:rPr>
      </w:pPr>
      <w:r>
        <w:rPr>
          <w:rFonts w:hint="eastAsia" w:ascii="方正黑体_GBK" w:hAnsi="方正黑体_GBK" w:eastAsia="方正黑体_GBK" w:cs="方正黑体_GBK"/>
          <w:sz w:val="32"/>
          <w:szCs w:val="32"/>
        </w:rPr>
        <w:t>一、项目概况及招标范围</w:t>
      </w:r>
    </w:p>
    <w:p>
      <w:pPr>
        <w:spacing w:after="0" w:line="600" w:lineRule="exact"/>
        <w:ind w:firstLine="640" w:firstLineChars="200"/>
        <w:rPr>
          <w:rFonts w:hint="eastAsia" w:ascii="方正仿宋_GBK" w:hAnsi="Calibri" w:eastAsia="方正仿宋_GBK" w:cs="方正仿宋_GBK"/>
          <w:sz w:val="32"/>
          <w:szCs w:val="32"/>
          <w:u w:val="none"/>
        </w:rPr>
      </w:pPr>
      <w:r>
        <w:rPr>
          <w:rFonts w:hint="eastAsia" w:ascii="方正楷体_GBK" w:hAnsi="方正楷体_GBK" w:eastAsia="方正楷体_GBK" w:cs="方正楷体_GBK"/>
          <w:sz w:val="32"/>
          <w:szCs w:val="32"/>
        </w:rPr>
        <w:t>（一）项目名称</w:t>
      </w:r>
      <w:r>
        <w:rPr>
          <w:rFonts w:hint="eastAsia" w:ascii="方正仿宋_GBK" w:hAnsi="Calibri" w:eastAsia="方正仿宋_GBK" w:cs="方正仿宋_GBK"/>
          <w:sz w:val="32"/>
          <w:szCs w:val="32"/>
        </w:rPr>
        <w:t>：</w:t>
      </w:r>
      <w:r>
        <w:rPr>
          <w:rFonts w:hint="eastAsia" w:ascii="方正仿宋_GBK" w:hAnsi="Calibri" w:eastAsia="方正仿宋_GBK" w:cs="方正仿宋_GBK"/>
          <w:sz w:val="32"/>
          <w:szCs w:val="32"/>
          <w:u w:val="none"/>
        </w:rPr>
        <w:t>龙商担保公司采购“光大银行诉讼我司承担重庆逸景中医医院有限公司融资保证责任民事案件”专项法律服务。</w:t>
      </w:r>
    </w:p>
    <w:p>
      <w:pPr>
        <w:widowControl w:val="0"/>
        <w:adjustRightInd/>
        <w:snapToGrid/>
        <w:spacing w:after="0" w:line="600" w:lineRule="exact"/>
        <w:ind w:firstLine="640" w:firstLineChars="200"/>
        <w:rPr>
          <w:rFonts w:hint="eastAsia" w:ascii="方正仿宋_GBK" w:hAnsi="Calibri" w:eastAsia="方正仿宋_GBK" w:cs="方正仿宋_GBK"/>
          <w:sz w:val="32"/>
          <w:szCs w:val="32"/>
        </w:rPr>
      </w:pPr>
      <w:r>
        <w:rPr>
          <w:rFonts w:hint="eastAsia" w:ascii="方正楷体_GBK" w:hAnsi="方正楷体_GBK" w:eastAsia="方正楷体_GBK" w:cs="方正楷体_GBK"/>
          <w:sz w:val="32"/>
          <w:szCs w:val="32"/>
        </w:rPr>
        <w:t>（二）公司地址</w:t>
      </w:r>
      <w:r>
        <w:rPr>
          <w:rFonts w:hint="eastAsia" w:ascii="方正仿宋_GBK" w:hAnsi="Calibri" w:eastAsia="方正仿宋_GBK" w:cs="方正仿宋_GBK"/>
          <w:sz w:val="32"/>
          <w:szCs w:val="32"/>
        </w:rPr>
        <w:t>：九龙坡区融堃彩云里15楼龙商担保公司。</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楷体_GBK" w:hAnsi="方正楷体_GBK" w:eastAsia="方正楷体_GBK" w:cs="方正楷体_GBK"/>
          <w:sz w:val="32"/>
          <w:szCs w:val="32"/>
        </w:rPr>
        <w:t>（三）招标范围</w:t>
      </w:r>
      <w:r>
        <w:rPr>
          <w:rFonts w:hint="eastAsia" w:ascii="方正仿宋_GBK" w:hAnsi="Calibri" w:eastAsia="方正仿宋_GBK" w:cs="方正仿宋_GBK"/>
          <w:sz w:val="32"/>
          <w:szCs w:val="32"/>
        </w:rPr>
        <w:t>：</w:t>
      </w:r>
    </w:p>
    <w:p>
      <w:pPr>
        <w:spacing w:after="0" w:line="600" w:lineRule="exact"/>
        <w:ind w:firstLine="640" w:firstLineChars="200"/>
        <w:rPr>
          <w:rFonts w:hint="eastAsia" w:ascii="方正黑体_GBK" w:hAnsi="方正黑体_GBK" w:eastAsia="方正黑体_GBK" w:cs="方正黑体_GBK"/>
          <w:sz w:val="32"/>
          <w:szCs w:val="32"/>
          <w:shd w:val="clear"/>
        </w:rPr>
      </w:pPr>
      <w:r>
        <w:rPr>
          <w:rFonts w:hint="eastAsia" w:ascii="方正黑体_GBK" w:hAnsi="方正黑体_GBK" w:eastAsia="方正黑体_GBK" w:cs="方正黑体_GBK"/>
          <w:sz w:val="32"/>
          <w:szCs w:val="32"/>
          <w:shd w:val="clear"/>
        </w:rPr>
        <w:t>二、项目服务内容</w:t>
      </w:r>
    </w:p>
    <w:p>
      <w:pPr>
        <w:spacing w:after="0" w:line="600" w:lineRule="exact"/>
        <w:ind w:firstLine="640" w:firstLineChars="200"/>
        <w:jc w:val="left"/>
        <w:rPr>
          <w:rFonts w:hint="eastAsia" w:ascii="方正楷体_GBK" w:hAnsi="方正楷体_GBK" w:eastAsia="方正楷体_GBK" w:cs="方正楷体_GBK"/>
          <w:b w:val="0"/>
          <w:bCs w:val="0"/>
          <w:sz w:val="32"/>
          <w:szCs w:val="32"/>
        </w:rPr>
      </w:pPr>
      <w:bookmarkStart w:id="0" w:name="OLE_LINK19"/>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sz w:val="32"/>
          <w:szCs w:val="32"/>
        </w:rPr>
        <w:t>案件前期准备阶段</w:t>
      </w:r>
    </w:p>
    <w:p>
      <w:pPr>
        <w:spacing w:after="0" w:line="600" w:lineRule="exact"/>
        <w:ind w:firstLine="0" w:firstLineChars="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1.</w:t>
      </w:r>
      <w:r>
        <w:rPr>
          <w:rFonts w:hint="eastAsia" w:ascii="方正仿宋_GBK" w:hAnsi="Calibri" w:eastAsia="方正仿宋_GBK" w:cs="方正仿宋_GBK"/>
          <w:sz w:val="32"/>
          <w:szCs w:val="32"/>
        </w:rPr>
        <w:t>梳理案件事实、审查证据材料，分析案件法律关系，评估胜诉概率、潜在风险及诉讼成本。</w:t>
      </w:r>
    </w:p>
    <w:p>
      <w:pPr>
        <w:spacing w:after="0" w:line="600" w:lineRule="exact"/>
        <w:ind w:firstLine="0" w:firstLineChars="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2.</w:t>
      </w:r>
      <w:r>
        <w:rPr>
          <w:rFonts w:hint="eastAsia" w:ascii="方正仿宋_GBK" w:hAnsi="Calibri" w:eastAsia="方正仿宋_GBK" w:cs="方正仿宋_GBK"/>
          <w:sz w:val="32"/>
          <w:szCs w:val="32"/>
        </w:rPr>
        <w:t>根据案件情况制定针对性应诉方案，包括是否提出管辖权异议、是否反诉、证据抗辩重点等。</w:t>
      </w:r>
    </w:p>
    <w:p>
      <w:pPr>
        <w:spacing w:after="0" w:line="600" w:lineRule="exact"/>
        <w:ind w:firstLine="0" w:firstLineChars="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3.</w:t>
      </w:r>
      <w:r>
        <w:rPr>
          <w:rFonts w:hint="eastAsia" w:ascii="方正仿宋_GBK" w:hAnsi="Calibri" w:eastAsia="方正仿宋_GBK" w:cs="方正仿宋_GBK"/>
          <w:sz w:val="32"/>
          <w:szCs w:val="32"/>
        </w:rPr>
        <w:t>协助公司收集、整理、补充证据，拟定《答辩状》、《证据清单》等应诉文书。</w:t>
      </w:r>
    </w:p>
    <w:p>
      <w:pPr>
        <w:spacing w:after="0" w:line="600" w:lineRule="exact"/>
        <w:ind w:firstLine="640" w:firstLineChars="200"/>
        <w:jc w:val="left"/>
        <w:rPr>
          <w:rFonts w:hint="eastAsia" w:ascii="方正仿宋_GBK" w:hAnsi="Calibri" w:eastAsia="方正仿宋_GBK" w:cs="方正仿宋_GBK"/>
          <w:b w:val="0"/>
          <w:bCs w:val="0"/>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b w:val="0"/>
          <w:bCs w:val="0"/>
          <w:sz w:val="32"/>
          <w:szCs w:val="32"/>
        </w:rPr>
        <w:t>诉讼程序代理阶段</w:t>
      </w:r>
    </w:p>
    <w:p>
      <w:pPr>
        <w:spacing w:after="0" w:line="600" w:lineRule="exact"/>
        <w:ind w:firstLine="0" w:firstLineChars="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1.</w:t>
      </w:r>
      <w:r>
        <w:rPr>
          <w:rFonts w:hint="eastAsia" w:ascii="方正仿宋_GBK" w:hAnsi="Calibri" w:eastAsia="方正仿宋_GBK" w:cs="方正仿宋_GBK"/>
          <w:sz w:val="32"/>
          <w:szCs w:val="32"/>
        </w:rPr>
        <w:t>代为向法院提交应诉材料、领取法律文书，按时参加庭审、调解、质证等诉讼活动。</w:t>
      </w:r>
    </w:p>
    <w:p>
      <w:pPr>
        <w:spacing w:after="0" w:line="600" w:lineRule="exact"/>
        <w:ind w:firstLine="0" w:firstLineChars="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2.</w:t>
      </w:r>
      <w:r>
        <w:rPr>
          <w:rFonts w:hint="eastAsia" w:ascii="方正仿宋_GBK" w:hAnsi="Calibri" w:eastAsia="方正仿宋_GBK" w:cs="方正仿宋_GBK"/>
          <w:sz w:val="32"/>
          <w:szCs w:val="32"/>
        </w:rPr>
        <w:t> 庭审中代为陈述事实、举证质证、发表辩论意见，针对对方诉求及证据进行专业反驳，维护公司合法主张。</w:t>
      </w:r>
    </w:p>
    <w:p>
      <w:pPr>
        <w:spacing w:after="0" w:line="600" w:lineRule="exact"/>
        <w:ind w:firstLine="0" w:firstLineChars="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3.</w:t>
      </w:r>
      <w:r>
        <w:rPr>
          <w:rFonts w:hint="eastAsia" w:ascii="方正仿宋_GBK" w:hAnsi="Calibri" w:eastAsia="方正仿宋_GBK" w:cs="方正仿宋_GBK"/>
          <w:sz w:val="32"/>
          <w:szCs w:val="32"/>
        </w:rPr>
        <w:t>监督诉讼程序合法性，及时提出回避申请、延期审理等程序主张，保障公司诉讼权利。</w:t>
      </w:r>
    </w:p>
    <w:p>
      <w:pPr>
        <w:spacing w:after="0" w:line="600" w:lineRule="exact"/>
        <w:ind w:firstLine="640" w:firstLineChars="200"/>
        <w:jc w:val="left"/>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rPr>
        <w:t>案件后续跟进阶段</w:t>
      </w:r>
    </w:p>
    <w:p>
      <w:pPr>
        <w:spacing w:after="0" w:line="600" w:lineRule="exact"/>
        <w:ind w:firstLine="0" w:firstLineChars="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1.</w:t>
      </w:r>
      <w:r>
        <w:rPr>
          <w:rFonts w:hint="eastAsia" w:ascii="方正仿宋_GBK" w:hAnsi="Calibri" w:eastAsia="方正仿宋_GBK" w:cs="方正仿宋_GBK"/>
          <w:sz w:val="32"/>
          <w:szCs w:val="32"/>
        </w:rPr>
        <w:t>收到判决书、裁定书后，为公司解读裁判内容，分析结果合理性，评估是否需要上诉、再审。</w:t>
      </w:r>
    </w:p>
    <w:p>
      <w:pPr>
        <w:spacing w:after="0" w:line="600" w:lineRule="exact"/>
        <w:ind w:firstLine="640" w:firstLineChars="20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val="en-US" w:eastAsia="zh-CN"/>
        </w:rPr>
        <w:t>2.</w:t>
      </w:r>
      <w:r>
        <w:rPr>
          <w:rFonts w:hint="eastAsia" w:ascii="方正仿宋_GBK" w:hAnsi="Calibri" w:eastAsia="方正仿宋_GBK" w:cs="方正仿宋_GBK"/>
          <w:sz w:val="32"/>
          <w:szCs w:val="32"/>
        </w:rPr>
        <w:t>若公司不服裁判，协助准备上诉状、再审申请书及相关材料，代理上诉、再审程序。</w:t>
      </w:r>
    </w:p>
    <w:p>
      <w:pPr>
        <w:spacing w:after="0" w:line="600" w:lineRule="exact"/>
        <w:ind w:firstLine="640" w:firstLineChars="200"/>
        <w:jc w:val="left"/>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val="en-US" w:eastAsia="zh-CN"/>
        </w:rPr>
        <w:t>3.</w:t>
      </w:r>
      <w:r>
        <w:rPr>
          <w:rFonts w:hint="eastAsia" w:ascii="方正仿宋_GBK" w:hAnsi="Calibri" w:eastAsia="方正仿宋_GBK" w:cs="方正仿宋_GBK"/>
          <w:sz w:val="32"/>
          <w:szCs w:val="32"/>
        </w:rPr>
        <w:t>若案件进入执行程序，协助公司处理执行异议、执行和解等事宜，或监督对方执行义务的履行。</w:t>
      </w:r>
    </w:p>
    <w:bookmarkEnd w:id="0"/>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、服务方式</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（一）</w:t>
      </w:r>
      <w:r>
        <w:rPr>
          <w:rFonts w:hint="eastAsia" w:ascii="方正仿宋_GBK" w:hAnsi="Calibri" w:eastAsia="方正仿宋_GBK" w:cs="方正仿宋_GBK"/>
          <w:sz w:val="32"/>
          <w:szCs w:val="32"/>
        </w:rPr>
        <w:t>为确保</w:t>
      </w:r>
      <w:bookmarkStart w:id="1" w:name="OLE_LINK18"/>
      <w:r>
        <w:rPr>
          <w:rFonts w:hint="eastAsia" w:ascii="方正仿宋_GBK" w:hAnsi="Calibri" w:eastAsia="方正仿宋_GBK" w:cs="方正仿宋_GBK"/>
          <w:sz w:val="32"/>
          <w:szCs w:val="32"/>
        </w:rPr>
        <w:t>光大银行诉讼我司承担逸景中医民事案件专项法律服务</w:t>
      </w:r>
      <w:bookmarkEnd w:id="1"/>
      <w:r>
        <w:rPr>
          <w:rFonts w:hint="eastAsia" w:ascii="方正仿宋_GBK" w:hAnsi="Calibri" w:eastAsia="方正仿宋_GBK" w:cs="方正仿宋_GBK"/>
          <w:sz w:val="32"/>
          <w:szCs w:val="32"/>
        </w:rPr>
        <w:t>的律师团队对该案服务事项的专注性及及时性，应考虑公司实际情况及工作性质等进行成员及分工的合理搭配，配备专业性强的法律服务律师团队，且不得随意更换服务团队律师。</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二）</w:t>
      </w:r>
      <w:r>
        <w:rPr>
          <w:rFonts w:hint="eastAsia" w:ascii="方正仿宋_GBK" w:hAnsi="Calibri" w:eastAsia="方正仿宋_GBK" w:cs="方正仿宋_GBK"/>
          <w:sz w:val="32"/>
          <w:szCs w:val="32"/>
        </w:rPr>
        <w:t>提供光大银行诉讼我司承担逸景中医民事案件专项法律服务的律师在处理相关工作时，常规法律事务须在6工作小时内予以反馈、合同拟定须在2个工作日内完成、如遇紧急事项，需在当日内完成。</w:t>
      </w:r>
    </w:p>
    <w:p>
      <w:pPr>
        <w:spacing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、资格要求</w:t>
      </w:r>
    </w:p>
    <w:p>
      <w:pPr>
        <w:spacing w:after="0" w:line="600" w:lineRule="exact"/>
        <w:ind w:firstLine="640" w:firstLineChars="200"/>
        <w:rPr>
          <w:rFonts w:hint="eastAsia" w:ascii="方正仿宋_GBK" w:hAnsi="Calibri" w:eastAsia="方正仿宋_GBK" w:cs="方正仿宋_GBK"/>
          <w:sz w:val="32"/>
          <w:szCs w:val="32"/>
          <w:shd w:val="clear"/>
        </w:rPr>
      </w:pPr>
      <w:r>
        <w:rPr>
          <w:rFonts w:hint="eastAsia" w:ascii="方正仿宋_GBK" w:hAnsi="Calibri" w:eastAsia="方正仿宋_GBK" w:cs="方正仿宋_GBK"/>
          <w:sz w:val="32"/>
          <w:szCs w:val="32"/>
          <w:shd w:val="clear"/>
        </w:rPr>
        <w:t>（一）律师事务所依法注册成立十年以上，通过年检并持有效律师事务所执业许可证；</w:t>
      </w:r>
    </w:p>
    <w:p>
      <w:pPr>
        <w:spacing w:after="0" w:line="600" w:lineRule="exact"/>
        <w:ind w:firstLine="640" w:firstLineChars="200"/>
        <w:rPr>
          <w:rFonts w:hint="eastAsia" w:ascii="方正仿宋_GBK" w:hAnsi="Calibri" w:eastAsia="方正仿宋_GBK" w:cs="方正仿宋_GBK"/>
          <w:sz w:val="32"/>
          <w:szCs w:val="32"/>
          <w:shd w:val="clear"/>
        </w:rPr>
      </w:pPr>
      <w:r>
        <w:rPr>
          <w:rFonts w:hint="eastAsia" w:ascii="方正仿宋_GBK" w:hAnsi="Calibri" w:eastAsia="方正仿宋_GBK" w:cs="方正仿宋_GBK"/>
          <w:sz w:val="32"/>
          <w:szCs w:val="32"/>
          <w:shd w:val="clear"/>
        </w:rPr>
        <w:t>（二）律师事务所具有较强的综合实力和专业优势，拥有50名及以上从业人员，近三年为至少一家国有融资担保机构提供常年法律顾问或项目服务；</w:t>
      </w:r>
    </w:p>
    <w:p>
      <w:pPr>
        <w:spacing w:after="0" w:line="600" w:lineRule="exact"/>
        <w:ind w:firstLine="640" w:firstLineChars="200"/>
        <w:rPr>
          <w:rFonts w:hint="eastAsia" w:ascii="方正仿宋_GBK" w:hAnsi="Calibri" w:eastAsia="方正仿宋_GBK" w:cs="方正仿宋_GBK"/>
          <w:sz w:val="32"/>
          <w:szCs w:val="32"/>
          <w:shd w:val="clear"/>
        </w:rPr>
      </w:pPr>
      <w:r>
        <w:rPr>
          <w:rFonts w:hint="eastAsia" w:ascii="方正仿宋_GBK" w:hAnsi="Calibri" w:eastAsia="方正仿宋_GBK" w:cs="方正仿宋_GBK"/>
          <w:sz w:val="32"/>
          <w:szCs w:val="32"/>
          <w:shd w:val="clear"/>
        </w:rPr>
        <w:t xml:space="preserve">（三）律师团队应熟悉司法机关、仲裁机构、政府机构业务相关操作流程及惯例； </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shd w:val="clear"/>
        </w:rPr>
        <w:t>（四）律师团队成员至少应包括一名项目负责人（高级合伙人律师）、一名主办律师。</w:t>
      </w:r>
      <w:r>
        <w:rPr>
          <w:rFonts w:hint="eastAsia" w:ascii="方正仿宋_GBK" w:hAnsi="Calibri" w:eastAsia="方正仿宋_GBK" w:cs="方正仿宋_GBK"/>
          <w:sz w:val="32"/>
          <w:szCs w:val="32"/>
        </w:rPr>
        <w:t>其中，团队负责人在金融领域具有10年以上法律服务经验，主办律师在金融领域具有5年以上法律服务经验</w:t>
      </w:r>
      <w:r>
        <w:rPr>
          <w:rFonts w:hint="eastAsia" w:ascii="方正仿宋_GBK" w:hAnsi="Calibri" w:eastAsia="方正仿宋_GBK" w:cs="方正仿宋_GBK"/>
          <w:sz w:val="32"/>
          <w:szCs w:val="32"/>
          <w:shd w:val="clear"/>
        </w:rPr>
        <w:t>（提供事务所执业许可证复印件、事务所简介、律师履历）。</w:t>
      </w:r>
    </w:p>
    <w:p>
      <w:pPr>
        <w:spacing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、其他</w:t>
      </w:r>
    </w:p>
    <w:p>
      <w:pPr>
        <w:spacing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是否接受联合体投标：</w:t>
      </w:r>
      <w:r>
        <w:rPr>
          <w:rFonts w:hint="eastAsia" w:ascii="方正仿宋_GBK" w:hAnsi="Calibri" w:eastAsia="方正仿宋_GBK" w:cs="方正仿宋_GBK"/>
          <w:sz w:val="32"/>
          <w:szCs w:val="32"/>
          <w:u w:val="none"/>
        </w:rPr>
        <w:t>否</w:t>
      </w:r>
      <w:r>
        <w:rPr>
          <w:rFonts w:hint="eastAsia" w:ascii="方正仿宋_GBK" w:hAnsi="Calibri" w:eastAsia="方正仿宋_GBK" w:cs="方正仿宋_GBK"/>
          <w:sz w:val="32"/>
          <w:szCs w:val="32"/>
        </w:rPr>
        <w:t>。</w:t>
      </w:r>
    </w:p>
    <w:p>
      <w:pPr>
        <w:spacing w:after="0" w:line="600" w:lineRule="exact"/>
        <w:jc w:val="center"/>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第二章 谈判投标文件的制作</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napToGrid/>
          <w:w w:val="100"/>
          <w:sz w:val="32"/>
          <w:szCs w:val="32"/>
          <w:lang w:val="en-US" w:eastAsia="zh-CN"/>
        </w:rPr>
        <w:t xml:space="preserve">    </w:t>
      </w:r>
      <w:r>
        <w:rPr>
          <w:rFonts w:hint="eastAsia" w:ascii="方正黑体_GBK" w:hAnsi="方正黑体_GBK" w:eastAsia="方正黑体_GBK" w:cs="方正黑体_GBK"/>
          <w:sz w:val="32"/>
          <w:szCs w:val="32"/>
        </w:rPr>
        <w:t>一、投标文件的组成</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报价表</w:t>
      </w:r>
      <w:r>
        <w:rPr>
          <w:rFonts w:hint="eastAsia" w:ascii="方正仿宋_GBK" w:hAnsi="Calibri" w:eastAsia="方正仿宋_GBK" w:cs="方正仿宋_GBK"/>
          <w:sz w:val="32"/>
          <w:szCs w:val="32"/>
        </w:rPr>
        <w:t>；</w:t>
      </w:r>
    </w:p>
    <w:p>
      <w:pPr>
        <w:spacing w:after="0"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法人身份证明、法人授权委托书；</w:t>
      </w:r>
    </w:p>
    <w:p>
      <w:pPr>
        <w:spacing w:after="0"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营业执照复印件；</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律师事务所及律师团队资格证明材料</w:t>
      </w:r>
      <w:r>
        <w:rPr>
          <w:rFonts w:hint="eastAsia" w:ascii="方正仿宋_GBK" w:hAnsi="Calibri" w:eastAsia="方正仿宋_GBK" w:cs="方正仿宋_GBK"/>
          <w:sz w:val="32"/>
          <w:szCs w:val="32"/>
        </w:rPr>
        <w:t>；</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事务所简介</w:t>
      </w:r>
      <w:r>
        <w:rPr>
          <w:rFonts w:hint="eastAsia" w:ascii="方正仿宋_GBK" w:hAnsi="Calibri" w:eastAsia="方正仿宋_GBK" w:cs="方正仿宋_GBK"/>
          <w:sz w:val="32"/>
          <w:szCs w:val="32"/>
        </w:rPr>
        <w:t>。</w:t>
      </w:r>
    </w:p>
    <w:p>
      <w:pPr>
        <w:spacing w:after="0" w:line="600" w:lineRule="exact"/>
        <w:ind w:firstLine="640" w:firstLineChars="200"/>
        <w:rPr>
          <w:rFonts w:hint="eastAsia" w:ascii="方正仿宋_GBK" w:hAnsi="Calibri" w:eastAsia="方正仿宋_GBK" w:cs="方正仿宋_GBK"/>
          <w:b w:val="0"/>
          <w:sz w:val="32"/>
          <w:szCs w:val="32"/>
        </w:rPr>
      </w:pPr>
      <w:r>
        <w:rPr>
          <w:rFonts w:hint="eastAsia" w:ascii="方正仿宋_GBK" w:hAnsi="Calibri" w:eastAsia="方正仿宋_GBK" w:cs="方正仿宋_GBK"/>
          <w:b w:val="0"/>
          <w:sz w:val="32"/>
          <w:szCs w:val="32"/>
        </w:rPr>
        <w:t>注：1.格式范本见本须知第四章；</w:t>
      </w:r>
    </w:p>
    <w:p>
      <w:pPr>
        <w:spacing w:after="0" w:line="600" w:lineRule="exact"/>
        <w:ind w:firstLine="1280" w:firstLineChars="400"/>
        <w:rPr>
          <w:rFonts w:hint="eastAsia" w:ascii="方正仿宋_GBK" w:hAnsi="Calibri" w:eastAsia="方正仿宋_GBK" w:cs="方正仿宋_GBK"/>
          <w:b w:val="0"/>
          <w:sz w:val="32"/>
          <w:szCs w:val="32"/>
        </w:rPr>
      </w:pPr>
      <w:r>
        <w:rPr>
          <w:rFonts w:hint="eastAsia" w:ascii="方正仿宋_GBK" w:hAnsi="Calibri" w:eastAsia="方正仿宋_GBK" w:cs="方正仿宋_GBK"/>
          <w:b w:val="0"/>
          <w:sz w:val="32"/>
          <w:szCs w:val="32"/>
        </w:rPr>
        <w:t>2.以上投标文件组成部分均需签章完备，否则，其资格性、符合性审查不合格。</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二、投标文件制作</w:t>
      </w:r>
    </w:p>
    <w:p>
      <w:pPr>
        <w:spacing w:line="600" w:lineRule="exact"/>
        <w:rPr>
          <w:rFonts w:hint="eastAsia" w:ascii="方正楷体_GBK" w:hAnsi="方正楷体_GBK" w:eastAsia="方正楷体_GBK" w:cs="方正楷体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投标文件的份数</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投标文件</w:t>
      </w:r>
      <w:r>
        <w:rPr>
          <w:rFonts w:hint="eastAsia" w:ascii="方正仿宋_GBK" w:hAnsi="Calibri" w:eastAsia="方正仿宋_GBK" w:cs="方正仿宋_GBK"/>
          <w:b w:val="0"/>
          <w:sz w:val="32"/>
          <w:szCs w:val="32"/>
          <w:u w:val="none"/>
        </w:rPr>
        <w:t>一式一份</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签字盖章要求</w:t>
      </w:r>
    </w:p>
    <w:p>
      <w:pPr>
        <w:spacing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投标文件须由投标人的法定代表人或其委托代理人在规定的位置按招标文件相应要求签字、盖公章、盖单位法人章，应尽量避免涂改、行间插字或删除。如果出现上述情况，改动之处应加盖单位法人章或由投标人的法定代表人或其授权的代理人签字确认。</w:t>
      </w:r>
    </w:p>
    <w:p>
      <w:pPr>
        <w:numPr>
          <w:ilvl w:val="-1"/>
          <w:numId w:val="0"/>
        </w:numPr>
        <w:spacing w:after="0"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装订要求</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按第一条“投标文件的组成”要求装订成册。</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投标文件的密封</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投标文件应采用档案袋密封。封皮上注明“</w:t>
      </w:r>
      <w:r>
        <w:rPr>
          <w:rFonts w:hint="eastAsia" w:ascii="方正仿宋_GBK" w:hAnsi="Calibri" w:eastAsia="方正仿宋_GBK" w:cs="方正仿宋_GBK"/>
          <w:sz w:val="32"/>
          <w:szCs w:val="32"/>
          <w:u w:val="none"/>
        </w:rPr>
        <w:t>投标项目名称、投标人名称</w:t>
      </w:r>
      <w:r>
        <w:rPr>
          <w:rFonts w:hint="eastAsia" w:ascii="方正仿宋_GBK" w:hAnsi="Calibri" w:eastAsia="方正仿宋_GBK" w:cs="方正仿宋_GBK"/>
          <w:sz w:val="32"/>
          <w:szCs w:val="32"/>
        </w:rPr>
        <w:t>”字样，档案袋的封口应加盖公章或法人授权代表签字。未按要求密封的投标文件，招标人将拒绝接受。</w:t>
      </w:r>
    </w:p>
    <w:p>
      <w:pPr>
        <w:spacing w:after="0" w:line="60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谈判流程</w:t>
      </w:r>
    </w:p>
    <w:p>
      <w:pPr>
        <w:spacing w:after="0"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一、谈判投标文件的递交</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w:t>
      </w: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一）</w:t>
      </w:r>
      <w:r>
        <w:rPr>
          <w:rFonts w:hint="eastAsia" w:ascii="方正仿宋_GBK" w:hAnsi="Calibri" w:eastAsia="方正仿宋_GBK" w:cs="方正仿宋_GBK"/>
          <w:sz w:val="32"/>
          <w:szCs w:val="32"/>
        </w:rPr>
        <w:t>投标文件的递交时间：详见谈判公告。</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二）</w:t>
      </w:r>
      <w:r>
        <w:rPr>
          <w:rFonts w:hint="eastAsia" w:ascii="方正仿宋_GBK" w:hAnsi="Calibri" w:eastAsia="方正仿宋_GBK" w:cs="方正仿宋_GBK"/>
          <w:sz w:val="32"/>
          <w:szCs w:val="32"/>
        </w:rPr>
        <w:t>递交地点：九龙坡区融堃彩云里15楼龙商担保公司。</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三）</w:t>
      </w:r>
      <w:r>
        <w:rPr>
          <w:rFonts w:hint="eastAsia" w:ascii="方正仿宋_GBK" w:hAnsi="Calibri" w:eastAsia="方正仿宋_GBK" w:cs="方正仿宋_GBK"/>
          <w:sz w:val="32"/>
          <w:szCs w:val="32"/>
        </w:rPr>
        <w:t>投标截止时间：详见谈判公告；开标时间：同投标截止时间。</w:t>
      </w:r>
    </w:p>
    <w:p>
      <w:pPr>
        <w:numPr>
          <w:ilvl w:val="-1"/>
          <w:numId w:val="0"/>
        </w:num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四）</w:t>
      </w:r>
      <w:r>
        <w:rPr>
          <w:rFonts w:hint="eastAsia" w:ascii="方正仿宋_GBK" w:hAnsi="Calibri" w:eastAsia="方正仿宋_GBK" w:cs="方正仿宋_GBK"/>
          <w:b w:val="0"/>
          <w:sz w:val="32"/>
          <w:szCs w:val="32"/>
        </w:rPr>
        <w:t>投标截止时间后送达的投标文件招标人不予受理；未收到邀请的投标文件招标人不予接收</w:t>
      </w:r>
      <w:r>
        <w:rPr>
          <w:rFonts w:hint="eastAsia" w:ascii="方正仿宋_GBK" w:hAnsi="Calibri" w:eastAsia="方正仿宋_GBK" w:cs="方正仿宋_GBK"/>
          <w:sz w:val="32"/>
          <w:szCs w:val="32"/>
        </w:rPr>
        <w:t>。</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五）</w:t>
      </w:r>
      <w:r>
        <w:rPr>
          <w:rFonts w:hint="eastAsia" w:ascii="方正仿宋_GBK" w:hAnsi="Calibri" w:eastAsia="方正仿宋_GBK" w:cs="方正仿宋_GBK"/>
          <w:sz w:val="32"/>
          <w:szCs w:val="32"/>
        </w:rPr>
        <w:t>谈判参与人员</w:t>
      </w:r>
    </w:p>
    <w:p>
      <w:pPr>
        <w:spacing w:after="0" w:line="600" w:lineRule="exact"/>
        <w:ind w:firstLine="0" w:firstLineChars="0"/>
        <w:rPr>
          <w:rFonts w:hint="eastAsia" w:ascii="方正仿宋_GBK" w:hAnsi="Calibri" w:eastAsia="方正仿宋_GBK" w:cs="方正仿宋_GBK"/>
          <w:b w:val="0"/>
          <w:sz w:val="32"/>
          <w:szCs w:val="32"/>
        </w:rPr>
      </w:pPr>
      <w:r>
        <w:rPr>
          <w:rFonts w:hint="eastAsia" w:ascii="方正仿宋_GBK" w:hAnsi="Calibri" w:eastAsia="方正仿宋_GBK" w:cs="方正仿宋_GBK"/>
          <w:b w:val="0"/>
          <w:sz w:val="32"/>
          <w:szCs w:val="32"/>
          <w:lang w:eastAsia="zh-CN"/>
        </w:rPr>
        <w:t xml:space="preserve"> </w:t>
      </w:r>
      <w:r>
        <w:rPr>
          <w:rFonts w:hint="eastAsia" w:ascii="方正仿宋_GBK" w:hAnsi="Calibri" w:eastAsia="方正仿宋_GBK" w:cs="方正仿宋_GBK"/>
          <w:b w:val="0"/>
          <w:sz w:val="32"/>
          <w:szCs w:val="32"/>
          <w:lang w:val="en-US" w:eastAsia="zh-CN"/>
        </w:rPr>
        <w:t xml:space="preserve">   1.</w:t>
      </w:r>
      <w:r>
        <w:rPr>
          <w:rFonts w:hint="eastAsia" w:ascii="方正仿宋_GBK" w:hAnsi="Calibri" w:eastAsia="方正仿宋_GBK" w:cs="方正仿宋_GBK"/>
          <w:b w:val="0"/>
          <w:sz w:val="32"/>
          <w:szCs w:val="32"/>
        </w:rPr>
        <w:t>收到邀请书的投标人。未收到邀请的投标文件，招标人将拒绝接收。</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2.</w:t>
      </w:r>
      <w:r>
        <w:rPr>
          <w:rFonts w:hint="eastAsia" w:ascii="方正仿宋_GBK" w:hAnsi="Calibri" w:eastAsia="方正仿宋_GBK" w:cs="方正仿宋_GBK"/>
          <w:sz w:val="32"/>
          <w:szCs w:val="32"/>
        </w:rPr>
        <w:t>各投标人应当派1-2名代表参与，至少1人应为法定代表人或具有法定代表人授权委托书的授权代表。</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二、谈判程序及方法</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谈判程序</w:t>
      </w:r>
    </w:p>
    <w:p>
      <w:pPr>
        <w:spacing w:after="0" w:line="600" w:lineRule="exact"/>
        <w:ind w:firstLine="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val="en-US" w:eastAsia="zh-CN"/>
        </w:rPr>
        <w:t xml:space="preserve"> 1.</w:t>
      </w:r>
      <w:r>
        <w:rPr>
          <w:rFonts w:hint="eastAsia" w:ascii="方正仿宋_GBK" w:hAnsi="Calibri" w:eastAsia="方正仿宋_GBK" w:cs="方正仿宋_GBK"/>
          <w:sz w:val="32"/>
          <w:szCs w:val="32"/>
        </w:rPr>
        <w:t>投标人签到。</w:t>
      </w:r>
    </w:p>
    <w:p>
      <w:pPr>
        <w:spacing w:after="0" w:line="600" w:lineRule="exact"/>
        <w:ind w:firstLine="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val="en-US" w:eastAsia="zh-CN"/>
        </w:rPr>
        <w:t xml:space="preserve"> </w:t>
      </w: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val="en-US" w:eastAsia="zh-CN"/>
        </w:rPr>
        <w:t>2.</w:t>
      </w:r>
      <w:r>
        <w:rPr>
          <w:rFonts w:hint="eastAsia" w:ascii="方正仿宋_GBK" w:hAnsi="Calibri" w:eastAsia="方正仿宋_GBK" w:cs="方正仿宋_GBK"/>
          <w:sz w:val="32"/>
          <w:szCs w:val="32"/>
        </w:rPr>
        <w:t>宣布谈判纪律，公布在投标截止时间前递交投标文件的投标人名称。</w:t>
      </w:r>
    </w:p>
    <w:p>
      <w:pPr>
        <w:spacing w:after="0" w:line="600" w:lineRule="exact"/>
        <w:ind w:firstLine="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val="en-US" w:eastAsia="zh-CN"/>
        </w:rPr>
        <w:t xml:space="preserve">  3.</w:t>
      </w:r>
      <w:r>
        <w:rPr>
          <w:rFonts w:hint="eastAsia" w:ascii="方正仿宋_GBK" w:hAnsi="Calibri" w:eastAsia="方正仿宋_GBK" w:cs="方正仿宋_GBK"/>
          <w:sz w:val="32"/>
          <w:szCs w:val="32"/>
        </w:rPr>
        <w:t>检查投标文件的密封情况。</w:t>
      </w:r>
    </w:p>
    <w:p>
      <w:pPr>
        <w:spacing w:after="0" w:line="600" w:lineRule="exact"/>
        <w:ind w:firstLine="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4.</w:t>
      </w:r>
      <w:r>
        <w:rPr>
          <w:rFonts w:hint="eastAsia" w:ascii="方正仿宋_GBK" w:hAnsi="Calibri" w:eastAsia="方正仿宋_GBK" w:cs="方正仿宋_GBK"/>
          <w:sz w:val="32"/>
          <w:szCs w:val="32"/>
        </w:rPr>
        <w:t>逐单位随机开启投标文件，公布投标人名称、投标报价及其他内容，记录在表格上并由投标人确认签字。因投标人原因未签字确认，视为默认开标记录。</w:t>
      </w:r>
    </w:p>
    <w:p>
      <w:pPr>
        <w:spacing w:after="0" w:line="600" w:lineRule="exact"/>
        <w:ind w:firstLine="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5.</w:t>
      </w:r>
      <w:r>
        <w:rPr>
          <w:rFonts w:hint="eastAsia" w:ascii="方正仿宋_GBK" w:hAnsi="Calibri" w:eastAsia="方正仿宋_GBK" w:cs="方正仿宋_GBK"/>
          <w:sz w:val="32"/>
          <w:szCs w:val="32"/>
        </w:rPr>
        <w:t>评标小组对所有投标人投标总价进行评审。总报价高于最高限价的，不进入报价排序；总报价低于最高限价的按报价</w:t>
      </w:r>
      <w:r>
        <w:rPr>
          <w:rFonts w:hint="eastAsia" w:ascii="方正仿宋_GBK" w:hAnsi="Calibri" w:eastAsia="方正仿宋_GBK" w:cs="方正仿宋_GBK"/>
          <w:b w:val="0"/>
          <w:sz w:val="32"/>
          <w:szCs w:val="32"/>
        </w:rPr>
        <w:t>由低到高</w:t>
      </w:r>
      <w:r>
        <w:rPr>
          <w:rFonts w:hint="eastAsia" w:ascii="方正仿宋_GBK" w:hAnsi="Calibri" w:eastAsia="方正仿宋_GBK" w:cs="方正仿宋_GBK"/>
          <w:sz w:val="32"/>
          <w:szCs w:val="32"/>
        </w:rPr>
        <w:t>的顺序进行排序。</w:t>
      </w:r>
    </w:p>
    <w:p>
      <w:pPr>
        <w:spacing w:after="0" w:line="600" w:lineRule="exact"/>
        <w:ind w:firstLine="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6.</w:t>
      </w:r>
      <w:r>
        <w:rPr>
          <w:rFonts w:hint="eastAsia" w:ascii="方正仿宋_GBK" w:hAnsi="Calibri" w:eastAsia="方正仿宋_GBK" w:cs="方正仿宋_GBK"/>
          <w:sz w:val="32"/>
          <w:szCs w:val="32"/>
        </w:rPr>
        <w:t>评标小组按前述报价排序由低到高依次对投标人的资格条件进行资格性、符合性审查。</w:t>
      </w:r>
    </w:p>
    <w:p>
      <w:pPr>
        <w:spacing w:after="0" w:line="600" w:lineRule="exact"/>
        <w:ind w:firstLine="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 xml:space="preserve">  </w:t>
      </w:r>
      <w:r>
        <w:rPr>
          <w:rFonts w:hint="eastAsia" w:ascii="方正仿宋_GBK" w:hAnsi="Calibri" w:eastAsia="方正仿宋_GBK" w:cs="方正仿宋_GBK"/>
          <w:sz w:val="32"/>
          <w:szCs w:val="32"/>
          <w:lang w:eastAsia="zh-CN"/>
        </w:rPr>
        <w:t xml:space="preserve"> </w:t>
      </w:r>
      <w:r>
        <w:rPr>
          <w:rFonts w:hint="eastAsia" w:ascii="方正仿宋_GBK" w:hAnsi="Calibri" w:eastAsia="方正仿宋_GBK" w:cs="方正仿宋_GBK"/>
          <w:sz w:val="32"/>
          <w:szCs w:val="32"/>
          <w:lang w:val="en-US" w:eastAsia="zh-CN"/>
        </w:rPr>
        <w:t xml:space="preserve"> 7.</w:t>
      </w:r>
      <w:r>
        <w:rPr>
          <w:rFonts w:hint="eastAsia" w:ascii="方正仿宋_GBK" w:hAnsi="Calibri" w:eastAsia="方正仿宋_GBK" w:cs="方正仿宋_GBK"/>
          <w:sz w:val="32"/>
          <w:szCs w:val="32"/>
        </w:rPr>
        <w:t>若排名第一的投标人资格性、符合性审查合格，则排名第一的投标人为中选人；若排名第一的投标人资格性、符合性审查不合格，且排名第二的投标人资格性、符合性审查合格，则排名第二的投标人为中选人，以此类推，直至选出合格中选人。</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b w:val="0"/>
          <w:sz w:val="32"/>
          <w:szCs w:val="32"/>
        </w:rPr>
        <w:t>注：</w:t>
      </w:r>
      <w:r>
        <w:rPr>
          <w:rFonts w:hint="eastAsia" w:ascii="方正仿宋_GBK" w:hAnsi="Calibri" w:eastAsia="方正仿宋_GBK" w:cs="方正仿宋_GBK"/>
          <w:sz w:val="32"/>
          <w:szCs w:val="32"/>
        </w:rPr>
        <w:t>投标人应按谈判公告规定的时间和地点参加谈判并签到，否则其投标文件不得参与谈判。</w:t>
      </w:r>
    </w:p>
    <w:p>
      <w:pPr>
        <w:numPr>
          <w:ilvl w:val="-1"/>
          <w:numId w:val="0"/>
        </w:numPr>
        <w:spacing w:after="0"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谈判方法</w:t>
      </w:r>
    </w:p>
    <w:p>
      <w:pPr>
        <w:numPr>
          <w:ilvl w:val="-1"/>
          <w:numId w:val="0"/>
        </w:numPr>
        <w:spacing w:after="0" w:line="600" w:lineRule="exact"/>
        <w:ind w:firstLine="643" w:firstLineChars="200"/>
        <w:rPr>
          <w:rFonts w:hint="eastAsia" w:ascii="方正仿宋_GBK" w:hAnsi="Calibri" w:eastAsia="方正仿宋_GBK" w:cs="方正仿宋_GBK"/>
          <w:sz w:val="32"/>
          <w:szCs w:val="32"/>
        </w:rPr>
      </w:pPr>
      <w:r>
        <w:rPr>
          <w:rFonts w:hint="eastAsia" w:ascii="方正仿宋_GBK" w:hAnsi="Calibri" w:eastAsia="方正仿宋_GBK" w:cs="方正仿宋_GBK"/>
          <w:b/>
          <w:bCs/>
          <w:sz w:val="32"/>
          <w:szCs w:val="32"/>
          <w:lang w:val="en-US" w:eastAsia="zh-CN"/>
        </w:rPr>
        <w:t>1.</w:t>
      </w:r>
      <w:r>
        <w:rPr>
          <w:rFonts w:hint="eastAsia" w:ascii="方正仿宋_GBK" w:hAnsi="Calibri" w:eastAsia="方正仿宋_GBK" w:cs="方正仿宋_GBK"/>
          <w:b/>
          <w:bCs/>
          <w:sz w:val="32"/>
          <w:szCs w:val="32"/>
        </w:rPr>
        <w:t>评标小组的组建</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由招标人按法律法规及相关规定依法组建评标小组。</w:t>
      </w:r>
    </w:p>
    <w:p>
      <w:pPr>
        <w:numPr>
          <w:ilvl w:val="-1"/>
          <w:numId w:val="0"/>
        </w:numPr>
        <w:spacing w:after="0" w:line="600" w:lineRule="exact"/>
        <w:ind w:firstLine="643" w:firstLineChars="200"/>
        <w:rPr>
          <w:rFonts w:hint="eastAsia" w:ascii="方正仿宋_GBK" w:hAnsi="Calibri" w:eastAsia="方正仿宋_GBK" w:cs="方正仿宋_GBK"/>
          <w:sz w:val="32"/>
          <w:szCs w:val="32"/>
        </w:rPr>
      </w:pPr>
      <w:r>
        <w:rPr>
          <w:rFonts w:hint="eastAsia" w:ascii="方正仿宋_GBK" w:hAnsi="Calibri" w:eastAsia="方正仿宋_GBK" w:cs="方正仿宋_GBK"/>
          <w:b/>
          <w:bCs/>
          <w:sz w:val="32"/>
          <w:szCs w:val="32"/>
          <w:lang w:val="en-US" w:eastAsia="zh-CN"/>
        </w:rPr>
        <w:t>2.</w:t>
      </w:r>
      <w:r>
        <w:rPr>
          <w:rFonts w:hint="eastAsia" w:ascii="方正仿宋_GBK" w:hAnsi="Calibri" w:eastAsia="方正仿宋_GBK" w:cs="方正仿宋_GBK"/>
          <w:b/>
          <w:bCs/>
          <w:sz w:val="32"/>
          <w:szCs w:val="32"/>
        </w:rPr>
        <w:t>评标办法</w:t>
      </w:r>
    </w:p>
    <w:p>
      <w:pPr>
        <w:spacing w:after="0" w:line="600" w:lineRule="exact"/>
        <w:ind w:firstLine="0" w:firstLineChars="0"/>
        <w:rPr>
          <w:rFonts w:hint="eastAsia" w:ascii="方正仿宋_GBK" w:hAnsi="Calibri" w:eastAsia="方正仿宋_GBK" w:cs="方正仿宋_GBK"/>
          <w:b w:val="0"/>
          <w:sz w:val="32"/>
          <w:szCs w:val="32"/>
          <w:u w:val="none"/>
        </w:rPr>
      </w:pPr>
      <w:r>
        <w:rPr>
          <w:rFonts w:hint="eastAsia" w:ascii="方正仿宋_GBK" w:hAnsi="Calibri" w:eastAsia="方正仿宋_GBK" w:cs="方正仿宋_GBK"/>
          <w:b w:val="0"/>
          <w:sz w:val="32"/>
          <w:szCs w:val="32"/>
          <w:u w:val="none"/>
          <w:lang w:val="en-US" w:eastAsia="zh-CN"/>
        </w:rPr>
        <w:t xml:space="preserve">    </w:t>
      </w:r>
      <w:r>
        <w:rPr>
          <w:rFonts w:hint="eastAsia" w:ascii="方正仿宋_GBK" w:hAnsi="方正仿宋_GBK" w:eastAsia="方正仿宋_GBK" w:cs="方正仿宋_GBK"/>
          <w:b w:val="0"/>
          <w:sz w:val="32"/>
          <w:szCs w:val="32"/>
          <w:u w:val="none"/>
          <w:lang w:val="en-US" w:eastAsia="zh-CN"/>
        </w:rPr>
        <w:t>⑴</w:t>
      </w:r>
      <w:r>
        <w:rPr>
          <w:rFonts w:hint="eastAsia" w:ascii="方正仿宋_GBK" w:hAnsi="Calibri" w:eastAsia="方正仿宋_GBK" w:cs="方正仿宋_GBK"/>
          <w:b w:val="0"/>
          <w:sz w:val="32"/>
          <w:szCs w:val="32"/>
          <w:u w:val="none"/>
        </w:rPr>
        <w:t>本项目采用经评审的最低价法。</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⑵</w:t>
      </w:r>
      <w:r>
        <w:rPr>
          <w:rFonts w:hint="eastAsia" w:ascii="方正仿宋_GBK" w:hAnsi="Calibri" w:eastAsia="方正仿宋_GBK" w:cs="方正仿宋_GBK"/>
          <w:sz w:val="32"/>
          <w:szCs w:val="32"/>
        </w:rPr>
        <w:t>评标小组将资格性、符合性审查合格的投标人按报价（不高于最高限价）由低到高排序。</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⑶</w:t>
      </w:r>
      <w:r>
        <w:rPr>
          <w:rFonts w:hint="eastAsia" w:ascii="方正仿宋_GBK" w:hAnsi="Calibri" w:eastAsia="方正仿宋_GBK" w:cs="方正仿宋_GBK"/>
          <w:sz w:val="32"/>
          <w:szCs w:val="32"/>
        </w:rPr>
        <w:t>资格性、符合性审查合格的投标人中，报价最低的为中选人。若出现投标人投标报价一致的，由评标小组按照资质的高低原则排序；若出现投标人资质也一致的，由投标人进行第二次报价，直至报价区分出高低，报价最低的为中选人。</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val="en-US" w:eastAsia="zh-CN"/>
        </w:rPr>
        <w:t xml:space="preserve">    </w:t>
      </w:r>
      <w:r>
        <w:rPr>
          <w:rFonts w:hint="eastAsia" w:ascii="方正仿宋_GBK" w:hAnsi="Calibri" w:eastAsia="方正仿宋_GBK" w:cs="方正仿宋_GBK"/>
          <w:b/>
          <w:bCs/>
          <w:sz w:val="32"/>
          <w:szCs w:val="32"/>
          <w:lang w:val="en-US" w:eastAsia="zh-CN"/>
        </w:rPr>
        <w:t>3.</w:t>
      </w:r>
      <w:r>
        <w:rPr>
          <w:rFonts w:hint="eastAsia" w:ascii="方正仿宋_GBK" w:hAnsi="Calibri" w:eastAsia="方正仿宋_GBK" w:cs="方正仿宋_GBK"/>
          <w:b/>
          <w:bCs/>
          <w:sz w:val="32"/>
          <w:szCs w:val="32"/>
        </w:rPr>
        <w:t>评审标准</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资格性、符合性审查内容：</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方正仿宋_GBK" w:eastAsia="方正仿宋_GBK" w:cs="方正仿宋_GBK"/>
          <w:sz w:val="32"/>
          <w:szCs w:val="32"/>
        </w:rPr>
        <w:t>⑴</w:t>
      </w:r>
      <w:r>
        <w:rPr>
          <w:rFonts w:hint="eastAsia" w:ascii="方正仿宋_GBK" w:hAnsi="Calibri" w:eastAsia="方正仿宋_GBK" w:cs="方正仿宋_GBK"/>
          <w:sz w:val="32"/>
          <w:szCs w:val="32"/>
        </w:rPr>
        <w:t>资格性评审：投标人资格条件、信誉条件等。</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⑵</w:t>
      </w:r>
      <w:r>
        <w:rPr>
          <w:rFonts w:hint="eastAsia" w:ascii="方正仿宋_GBK" w:hAnsi="Calibri" w:eastAsia="方正仿宋_GBK" w:cs="方正仿宋_GBK"/>
          <w:sz w:val="32"/>
          <w:szCs w:val="32"/>
        </w:rPr>
        <w:t>符合性评审：投标文件格式、投标文件密封、盖章齐全、报价是否符合谈判文件要求等。</w:t>
      </w:r>
    </w:p>
    <w:p>
      <w:pPr>
        <w:spacing w:after="0" w:line="600" w:lineRule="exact"/>
        <w:ind w:firstLine="0" w:firstLineChars="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资格性、符合性审查中有任何一项不符合要求，其资格性、符合性审查不合格，不得成为中选人。</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三、中选人的确认</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一）</w:t>
      </w:r>
      <w:r>
        <w:rPr>
          <w:rFonts w:hint="eastAsia" w:ascii="方正仿宋_GBK" w:hAnsi="Calibri" w:eastAsia="方正仿宋_GBK" w:cs="方正仿宋_GBK"/>
          <w:sz w:val="32"/>
          <w:szCs w:val="32"/>
        </w:rPr>
        <w:t>评标小组本着公开、公正、公平的原则，在按照谈判文件要求的方法及标准评审后，公示中选人，公示期3天。</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二）</w:t>
      </w:r>
      <w:r>
        <w:rPr>
          <w:rFonts w:hint="eastAsia" w:ascii="方正仿宋_GBK" w:hAnsi="Calibri" w:eastAsia="方正仿宋_GBK" w:cs="方正仿宋_GBK"/>
          <w:sz w:val="32"/>
          <w:szCs w:val="32"/>
        </w:rPr>
        <w:t>若公示期间未收到异议或投诉，招标人将在公示期结束后2日内以书面形式向中选人发出中选通知书。</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四、合同签订</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招标人和中选人应当自中选通知书发出后按中选通知书要求，根据招标文件和中选人的投标文件订立书面合同。中选人无正当理不与招标人签订合同的，招标人取消其中选资格；给招标人造成损失的，中选人应当赔偿。</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五、履约担保及低价风险担保</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中选人是否提供履约担保：/。</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六、弃标处理</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一）</w:t>
      </w:r>
      <w:r>
        <w:rPr>
          <w:rFonts w:hint="eastAsia" w:ascii="方正仿宋_GBK" w:hAnsi="Calibri" w:eastAsia="方正仿宋_GBK" w:cs="方正仿宋_GBK"/>
          <w:sz w:val="32"/>
          <w:szCs w:val="32"/>
        </w:rPr>
        <w:t>在中选公示结束后三日内，中选人未按规定签订合同的，招标人将其列入九龙现代产业集团信用黑名单，禁止在集团公司承揽相关业务。</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二）</w:t>
      </w:r>
      <w:r>
        <w:rPr>
          <w:rFonts w:hint="eastAsia" w:ascii="方正仿宋_GBK" w:hAnsi="Calibri" w:eastAsia="方正仿宋_GBK" w:cs="方正仿宋_GBK"/>
          <w:sz w:val="32"/>
          <w:szCs w:val="32"/>
        </w:rPr>
        <w:t>中选人放弃中选，给招标人造成损失的，应当赔偿，同时招标人将其列入九龙现代产业集团信用黑名单，禁止在集团公司承揽相关业务。</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三）</w:t>
      </w:r>
      <w:r>
        <w:rPr>
          <w:rFonts w:hint="eastAsia" w:ascii="方正仿宋_GBK" w:hAnsi="Calibri" w:eastAsia="方正仿宋_GBK" w:cs="方正仿宋_GBK"/>
          <w:sz w:val="32"/>
          <w:szCs w:val="32"/>
        </w:rPr>
        <w:t>中选人放弃或者被取消中选资格时，招标人可按投标人须知第三部分第二条“谈判程序及方法”确定的原则依次序确定中选人，也可以重新组织谈判。</w:t>
      </w:r>
    </w:p>
    <w:p>
      <w:pPr>
        <w:spacing w:after="0"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七、重新招标</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有下列情形之一的，招标人将重新招标：</w:t>
      </w:r>
    </w:p>
    <w:p>
      <w:pPr>
        <w:spacing w:after="0" w:line="600" w:lineRule="exact"/>
        <w:ind w:left="0"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一）</w:t>
      </w:r>
      <w:r>
        <w:rPr>
          <w:rFonts w:hint="eastAsia" w:ascii="方正仿宋_GBK" w:hAnsi="Calibri" w:eastAsia="方正仿宋_GBK" w:cs="方正仿宋_GBK"/>
          <w:sz w:val="32"/>
          <w:szCs w:val="32"/>
        </w:rPr>
        <w:t>投标截止时间止，投标人少于3个的；</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二）</w:t>
      </w:r>
      <w:r>
        <w:rPr>
          <w:rFonts w:hint="eastAsia" w:ascii="方正仿宋_GBK" w:hAnsi="Calibri" w:eastAsia="方正仿宋_GBK" w:cs="方正仿宋_GBK"/>
          <w:sz w:val="32"/>
          <w:szCs w:val="32"/>
        </w:rPr>
        <w:t>经评标小组评审后否决所有投标的；</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三）</w:t>
      </w:r>
      <w:r>
        <w:rPr>
          <w:rFonts w:hint="eastAsia" w:ascii="方正仿宋_GBK" w:hAnsi="Calibri" w:eastAsia="方正仿宋_GBK" w:cs="方正仿宋_GBK"/>
          <w:sz w:val="32"/>
          <w:szCs w:val="32"/>
        </w:rPr>
        <w:t>法律法规规定的其他需重新招标的情形。</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黑体_GBK" w:hAnsi="方正黑体_GBK" w:eastAsia="方正黑体_GBK" w:cs="方正黑体_GBK"/>
          <w:sz w:val="32"/>
          <w:szCs w:val="32"/>
        </w:rPr>
        <w:t>八、其他</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rPr>
        <w:t>除前文要求外，投标人发生以下条款情况之一时，视为无效投标，其投标文件将被拒绝：</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一）</w:t>
      </w:r>
      <w:r>
        <w:rPr>
          <w:rFonts w:hint="eastAsia" w:ascii="方正仿宋_GBK" w:hAnsi="Calibri" w:eastAsia="方正仿宋_GBK" w:cs="方正仿宋_GBK"/>
          <w:sz w:val="32"/>
          <w:szCs w:val="32"/>
        </w:rPr>
        <w:t>投标人不符合规定的资格条件的；</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二）</w:t>
      </w:r>
      <w:r>
        <w:rPr>
          <w:rFonts w:hint="eastAsia" w:ascii="方正仿宋_GBK" w:hAnsi="Calibri" w:eastAsia="方正仿宋_GBK" w:cs="方正仿宋_GBK"/>
          <w:sz w:val="32"/>
          <w:szCs w:val="32"/>
        </w:rPr>
        <w:t>投标人的法定代表人或其授权代表人未签到参加谈判的；</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三）</w:t>
      </w:r>
      <w:r>
        <w:rPr>
          <w:rFonts w:hint="eastAsia" w:ascii="方正仿宋_GBK" w:hAnsi="Calibri" w:eastAsia="方正仿宋_GBK" w:cs="方正仿宋_GBK"/>
          <w:sz w:val="32"/>
          <w:szCs w:val="32"/>
        </w:rPr>
        <w:t>法定代表人为同一个人的两个及两个以上法人，母公司、全资子公司及其控股公司参与谈判的；</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四）</w:t>
      </w:r>
      <w:r>
        <w:rPr>
          <w:rFonts w:hint="eastAsia" w:ascii="方正仿宋_GBK" w:hAnsi="Calibri" w:eastAsia="方正仿宋_GBK" w:cs="方正仿宋_GBK"/>
          <w:sz w:val="32"/>
          <w:szCs w:val="32"/>
        </w:rPr>
        <w:t>单位负责人为同一人或者存在直接控股、管理关系的不同投标人；</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五）</w:t>
      </w:r>
      <w:r>
        <w:rPr>
          <w:rFonts w:hint="eastAsia" w:ascii="方正仿宋_GBK" w:hAnsi="Calibri" w:eastAsia="方正仿宋_GBK" w:cs="方正仿宋_GBK"/>
          <w:sz w:val="32"/>
          <w:szCs w:val="32"/>
        </w:rPr>
        <w:t>投标人投标文件内容有与国家现行法律法规相违背的内容，或附有招标人无法接受的条件的。</w:t>
      </w:r>
    </w:p>
    <w:p>
      <w:pPr>
        <w:spacing w:after="0" w:line="60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格式范本</w:t>
      </w:r>
    </w:p>
    <w:p>
      <w:pPr>
        <w:spacing w:after="0" w:line="600" w:lineRule="exact"/>
        <w:ind w:firstLine="640" w:firstLineChars="200"/>
        <w:rPr>
          <w:rFonts w:hint="eastAsia" w:ascii="方正仿宋_GBK" w:hAnsi="Calibri" w:eastAsia="方正仿宋_GBK" w:cs="方正仿宋_GBK"/>
          <w:bCs w:val="0"/>
          <w:sz w:val="32"/>
          <w:szCs w:val="32"/>
        </w:rPr>
      </w:pPr>
      <w:r>
        <w:rPr>
          <w:rFonts w:hint="eastAsia" w:ascii="方正黑体_GBK" w:hAnsi="方正黑体_GBK" w:eastAsia="方正黑体_GBK" w:cs="方正黑体_GBK"/>
          <w:bCs w:val="0"/>
          <w:sz w:val="32"/>
          <w:szCs w:val="32"/>
        </w:rPr>
        <w:t>一、投标文件格式</w:t>
      </w:r>
    </w:p>
    <w:p>
      <w:pPr>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一）</w:t>
      </w:r>
      <w:r>
        <w:rPr>
          <w:rFonts w:hint="eastAsia" w:ascii="方正仿宋_GBK" w:hAnsi="Calibri" w:eastAsia="方正仿宋_GBK" w:cs="方正仿宋_GBK"/>
          <w:sz w:val="32"/>
          <w:szCs w:val="32"/>
        </w:rPr>
        <w:t>投标函</w:t>
      </w:r>
    </w:p>
    <w:p>
      <w:pPr>
        <w:widowControl w:val="0"/>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二）</w:t>
      </w:r>
      <w:r>
        <w:rPr>
          <w:rFonts w:hint="eastAsia" w:ascii="方正仿宋_GBK" w:hAnsi="Calibri" w:eastAsia="方正仿宋_GBK" w:cs="方正仿宋_GBK"/>
          <w:sz w:val="32"/>
          <w:szCs w:val="32"/>
        </w:rPr>
        <w:t>法定代表人身份证明书、授权委托书</w:t>
      </w:r>
    </w:p>
    <w:p>
      <w:pPr>
        <w:widowControl w:val="0"/>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三）</w:t>
      </w:r>
      <w:r>
        <w:rPr>
          <w:rFonts w:hint="eastAsia" w:ascii="方正仿宋_GBK" w:hAnsi="Calibri" w:eastAsia="方正仿宋_GBK" w:cs="方正仿宋_GBK"/>
          <w:sz w:val="32"/>
          <w:szCs w:val="32"/>
        </w:rPr>
        <w:t>营业执照复印件</w:t>
      </w:r>
    </w:p>
    <w:p>
      <w:pPr>
        <w:widowControl w:val="0"/>
        <w:spacing w:after="0" w:line="600" w:lineRule="exact"/>
        <w:ind w:firstLine="640" w:firstLineChars="200"/>
        <w:rPr>
          <w:rFonts w:hint="eastAsia" w:ascii="方正仿宋_GBK" w:hAnsi="Calibri" w:eastAsia="方正仿宋_GBK" w:cs="方正仿宋_GBK"/>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四）</w:t>
      </w:r>
      <w:r>
        <w:rPr>
          <w:rFonts w:hint="eastAsia" w:ascii="方正仿宋_GBK" w:hAnsi="Calibri" w:eastAsia="方正仿宋_GBK" w:cs="方正仿宋_GBK"/>
          <w:sz w:val="32"/>
          <w:szCs w:val="32"/>
        </w:rPr>
        <w:t>资质材料</w:t>
      </w:r>
    </w:p>
    <w:p>
      <w:pPr>
        <w:widowControl w:val="0"/>
        <w:spacing w:after="0" w:line="600" w:lineRule="exact"/>
        <w:ind w:firstLine="640" w:firstLineChars="200"/>
        <w:rPr>
          <w:rFonts w:hint="eastAsia" w:ascii="方正仿宋_GBK" w:hAnsi="Calibri" w:eastAsia="方正仿宋_GBK" w:cs="方正仿宋_GBK"/>
          <w:bCs w:val="0"/>
          <w:sz w:val="32"/>
          <w:szCs w:val="32"/>
        </w:rPr>
      </w:pPr>
      <w:r>
        <w:rPr>
          <w:rFonts w:hint="eastAsia" w:ascii="方正仿宋_GBK" w:hAnsi="Calibri" w:eastAsia="方正仿宋_GBK" w:cs="方正仿宋_GBK"/>
          <w:sz w:val="32"/>
          <w:szCs w:val="32"/>
          <w:lang w:eastAsia="zh-CN"/>
        </w:rPr>
        <w:t>（</w:t>
      </w:r>
      <w:r>
        <w:rPr>
          <w:rFonts w:hint="eastAsia" w:ascii="方正仿宋_GBK" w:hAnsi="Calibri" w:eastAsia="方正仿宋_GBK" w:cs="方正仿宋_GBK"/>
          <w:sz w:val="32"/>
          <w:szCs w:val="32"/>
          <w:lang w:val="en-US" w:eastAsia="zh-CN"/>
        </w:rPr>
        <w:t>五）</w:t>
      </w:r>
      <w:r>
        <w:rPr>
          <w:rFonts w:hint="eastAsia" w:ascii="方正仿宋_GBK" w:hAnsi="Calibri" w:eastAsia="方正仿宋_GBK" w:cs="方正仿宋_GBK"/>
          <w:sz w:val="32"/>
          <w:szCs w:val="32"/>
        </w:rPr>
        <w:t>事务所简介</w:t>
      </w:r>
    </w:p>
    <w:p>
      <w:pPr>
        <w:spacing w:line="600" w:lineRule="exact"/>
        <w:ind w:firstLine="640" w:firstLineChars="200"/>
        <w:rPr>
          <w:rFonts w:hint="eastAsia" w:ascii="方正仿宋_GBK" w:hAnsi="Calibri" w:eastAsia="方正仿宋_GBK" w:cs="方正仿宋_GBK"/>
          <w:bCs w:val="0"/>
          <w:sz w:val="32"/>
          <w:szCs w:val="32"/>
        </w:rPr>
      </w:pPr>
      <w:r>
        <w:rPr>
          <w:rFonts w:hint="eastAsia" w:ascii="方正黑体_GBK" w:hAnsi="方正黑体_GBK" w:eastAsia="方正黑体_GBK" w:cs="方正黑体_GBK"/>
          <w:bCs w:val="0"/>
          <w:sz w:val="32"/>
          <w:szCs w:val="32"/>
        </w:rPr>
        <w:t>二、</w:t>
      </w:r>
      <w:r>
        <w:rPr>
          <w:rFonts w:hint="eastAsia" w:ascii="方正黑体_GBK" w:hAnsi="方正黑体_GBK" w:eastAsia="方正黑体_GBK" w:cs="方正黑体_GBK"/>
          <w:bCs w:val="0"/>
          <w:sz w:val="32"/>
          <w:szCs w:val="32"/>
          <w:lang w:val="en-US" w:eastAsia="zh-CN"/>
        </w:rPr>
        <w:t>投标文件</w:t>
      </w:r>
      <w:r>
        <w:rPr>
          <w:rFonts w:hint="eastAsia" w:ascii="方正黑体_GBK" w:hAnsi="方正黑体_GBK" w:eastAsia="方正黑体_GBK" w:cs="方正黑体_GBK"/>
          <w:bCs w:val="0"/>
          <w:sz w:val="32"/>
          <w:szCs w:val="32"/>
        </w:rPr>
        <w:t>范本</w:t>
      </w:r>
    </w:p>
    <w:p>
      <w:pPr>
        <w:spacing w:line="600" w:lineRule="exact"/>
        <w:rPr>
          <w:rFonts w:hint="eastAsia" w:ascii="方正楷体_GBK" w:hAnsi="方正楷体_GBK" w:eastAsia="方正楷体_GBK" w:cs="方正楷体_GBK"/>
          <w:sz w:val="30"/>
          <w:szCs w:val="30"/>
        </w:rPr>
      </w:pPr>
      <w:r>
        <w:rPr>
          <w:rFonts w:hint="eastAsia" w:ascii="方正楷体_GBK" w:hAnsi="方正楷体_GBK" w:eastAsia="方正楷体_GBK" w:cs="方正楷体_GBK"/>
          <w:bCs/>
          <w:sz w:val="30"/>
          <w:szCs w:val="30"/>
          <w:lang w:val="en-US" w:eastAsia="zh-CN"/>
        </w:rPr>
        <w:t xml:space="preserve">    </w:t>
      </w:r>
    </w:p>
    <w:p>
      <w:pPr>
        <w:spacing w:line="600" w:lineRule="exact"/>
        <w:rPr>
          <w:rFonts w:hint="eastAsia" w:ascii="方正楷体_GBK" w:hAnsi="方正楷体_GBK" w:eastAsia="方正楷体_GBK" w:cs="方正楷体_GBK"/>
          <w:sz w:val="30"/>
          <w:szCs w:val="30"/>
        </w:rPr>
      </w:pPr>
    </w:p>
    <w:p>
      <w:pPr>
        <w:spacing w:line="600" w:lineRule="exact"/>
        <w:rPr>
          <w:rFonts w:hint="eastAsia" w:ascii="方正楷体_GBK" w:hAnsi="方正楷体_GBK" w:eastAsia="方正楷体_GBK" w:cs="方正楷体_GBK"/>
          <w:sz w:val="30"/>
          <w:szCs w:val="30"/>
        </w:rPr>
      </w:pPr>
    </w:p>
    <w:p>
      <w:pPr>
        <w:spacing w:line="600" w:lineRule="exact"/>
        <w:rPr>
          <w:rFonts w:hint="eastAsia" w:ascii="方正楷体_GBK" w:hAnsi="方正楷体_GBK" w:eastAsia="方正楷体_GBK" w:cs="方正楷体_GBK"/>
          <w:sz w:val="30"/>
          <w:szCs w:val="30"/>
        </w:rPr>
      </w:pPr>
    </w:p>
    <w:p>
      <w:pPr>
        <w:spacing w:line="600" w:lineRule="exact"/>
        <w:rPr>
          <w:rFonts w:hint="eastAsia" w:ascii="方正楷体_GBK" w:hAnsi="方正楷体_GBK" w:eastAsia="方正楷体_GBK" w:cs="方正楷体_GBK"/>
          <w:sz w:val="30"/>
          <w:szCs w:val="30"/>
        </w:rPr>
      </w:pPr>
    </w:p>
    <w:p>
      <w:pPr>
        <w:spacing w:line="600" w:lineRule="exact"/>
        <w:rPr>
          <w:rFonts w:hint="eastAsia" w:ascii="方正楷体_GBK" w:hAnsi="方正楷体_GBK" w:eastAsia="方正楷体_GBK" w:cs="方正楷体_GBK"/>
          <w:sz w:val="30"/>
          <w:szCs w:val="30"/>
        </w:rPr>
      </w:pPr>
    </w:p>
    <w:p>
      <w:pPr>
        <w:spacing w:line="600" w:lineRule="exact"/>
        <w:rPr>
          <w:rFonts w:hint="eastAsia" w:ascii="方正楷体_GBK" w:hAnsi="方正楷体_GBK" w:eastAsia="方正楷体_GBK" w:cs="方正楷体_GBK"/>
          <w:sz w:val="30"/>
          <w:szCs w:val="30"/>
        </w:rPr>
      </w:pPr>
    </w:p>
    <w:p>
      <w:pPr>
        <w:spacing w:line="600" w:lineRule="exact"/>
        <w:ind w:firstLine="0" w:firstLineChars="0"/>
        <w:rPr>
          <w:rFonts w:hint="eastAsia" w:ascii="方正黑体_GBK" w:hAnsi="方正黑体_GBK" w:eastAsia="方正黑体_GBK" w:cs="方正黑体_GBK"/>
          <w:sz w:val="30"/>
          <w:szCs w:val="30"/>
        </w:rPr>
      </w:pPr>
    </w:p>
    <w:p>
      <w:pPr>
        <w:spacing w:line="600" w:lineRule="exact"/>
        <w:ind w:firstLine="0" w:firstLineChars="0"/>
        <w:rPr>
          <w:rFonts w:hint="eastAsia" w:ascii="方正黑体_GBK" w:hAnsi="方正黑体_GBK" w:eastAsia="方正黑体_GBK" w:cs="方正黑体_GBK"/>
          <w:sz w:val="30"/>
          <w:szCs w:val="30"/>
        </w:rPr>
      </w:pPr>
    </w:p>
    <w:p>
      <w:pPr>
        <w:spacing w:line="600" w:lineRule="exact"/>
        <w:ind w:firstLine="0" w:firstLineChars="0"/>
        <w:rPr>
          <w:rFonts w:hint="eastAsia" w:ascii="方正黑体_GBK" w:hAnsi="方正黑体_GBK" w:eastAsia="方正黑体_GBK" w:cs="方正黑体_GBK"/>
          <w:sz w:val="30"/>
          <w:szCs w:val="30"/>
        </w:rPr>
      </w:pPr>
    </w:p>
    <w:p>
      <w:pPr>
        <w:spacing w:line="600" w:lineRule="exact"/>
        <w:ind w:firstLine="0" w:firstLineChars="0"/>
        <w:rPr>
          <w:rFonts w:hint="eastAsia" w:ascii="方正楷体_GBK" w:hAnsi="方正楷体_GBK" w:eastAsia="方正楷体_GBK" w:cs="方正楷体_GBK"/>
          <w:b/>
          <w:sz w:val="30"/>
          <w:szCs w:val="30"/>
        </w:rPr>
      </w:pPr>
      <w:r>
        <w:rPr>
          <w:rFonts w:hint="eastAsia" w:ascii="方正黑体_GBK" w:hAnsi="方正黑体_GBK" w:eastAsia="方正黑体_GBK" w:cs="方正黑体_GBK"/>
          <w:sz w:val="30"/>
          <w:szCs w:val="30"/>
        </w:rPr>
        <w:t>投标函格式</w:t>
      </w:r>
    </w:p>
    <w:p>
      <w:pPr>
        <w:tabs>
          <w:tab w:val="left" w:pos="2640"/>
        </w:tabs>
        <w:autoSpaceDE w:val="0"/>
        <w:autoSpaceDN w:val="0"/>
        <w:adjustRightInd w:val="0"/>
        <w:spacing w:line="600" w:lineRule="exact"/>
        <w:ind w:left="120" w:right="-20"/>
        <w:jc w:val="center"/>
        <w:rPr>
          <w:rFonts w:hint="eastAsia" w:ascii="方正黑体_GBK" w:hAnsi="方正黑体_GBK" w:eastAsia="方正黑体_GBK" w:cs="方正黑体_GBK"/>
          <w:b/>
          <w:bCs/>
          <w:snapToGrid w:val="0"/>
          <w:kern w:val="0"/>
          <w:sz w:val="32"/>
          <w:szCs w:val="32"/>
        </w:rPr>
      </w:pPr>
      <w:r>
        <w:rPr>
          <w:rFonts w:hint="eastAsia" w:ascii="方正黑体_GBK" w:hAnsi="方正黑体_GBK" w:eastAsia="方正黑体_GBK" w:cs="方正黑体_GBK"/>
          <w:b w:val="0"/>
          <w:bCs w:val="0"/>
          <w:snapToGrid w:val="0"/>
          <w:kern w:val="0"/>
          <w:sz w:val="32"/>
          <w:szCs w:val="32"/>
        </w:rPr>
        <w:t>投标函</w:t>
      </w:r>
    </w:p>
    <w:p>
      <w:pPr>
        <w:tabs>
          <w:tab w:val="left" w:pos="2640"/>
        </w:tabs>
        <w:autoSpaceDE w:val="0"/>
        <w:autoSpaceDN w:val="0"/>
        <w:adjustRightInd w:val="0"/>
        <w:spacing w:line="600" w:lineRule="exact"/>
        <w:ind w:left="120" w:right="-2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sz w:val="32"/>
          <w:szCs w:val="32"/>
          <w:u w:val="single"/>
        </w:rPr>
        <w:t>重庆市龙商融资担保有限责任公司</w:t>
      </w:r>
      <w:r>
        <w:rPr>
          <w:rFonts w:hint="eastAsia" w:ascii="方正仿宋_GBK" w:hAnsi="方正仿宋_GBK" w:eastAsia="方正仿宋_GBK" w:cs="方正仿宋_GBK"/>
          <w:snapToGrid w:val="0"/>
          <w:kern w:val="0"/>
          <w:sz w:val="32"/>
          <w:szCs w:val="32"/>
        </w:rPr>
        <w:t>：</w:t>
      </w:r>
    </w:p>
    <w:p>
      <w:pPr>
        <w:autoSpaceDE w:val="0"/>
        <w:autoSpaceDN w:val="0"/>
        <w:adjustRightInd w:val="0"/>
        <w:spacing w:before="15" w:line="600" w:lineRule="exact"/>
        <w:ind w:right="-2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（一）我方已仔细研究了</w:t>
      </w:r>
      <w:r>
        <w:rPr>
          <w:rFonts w:hint="eastAsia" w:ascii="方正仿宋_GBK" w:hAnsi="方正仿宋_GBK" w:eastAsia="方正仿宋_GBK" w:cs="方正仿宋_GBK"/>
          <w:bCs/>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 xml:space="preserve">项目谈判文件的全部内容，愿意以 </w:t>
      </w:r>
      <w:r>
        <w:rPr>
          <w:rFonts w:hint="eastAsia" w:ascii="方正仿宋_GBK" w:hAnsi="方正仿宋_GBK" w:eastAsia="方正仿宋_GBK" w:cs="方正仿宋_GBK"/>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的总报价，（大写：            ）作为本年度法律顾问总报价。</w:t>
      </w:r>
    </w:p>
    <w:p>
      <w:pPr>
        <w:autoSpaceDE w:val="0"/>
        <w:autoSpaceDN w:val="0"/>
        <w:adjustRightInd w:val="0"/>
        <w:spacing w:before="15" w:line="600" w:lineRule="exact"/>
        <w:ind w:right="-2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（二）我方承诺在询价有效期内不修改、撤销报价文件。</w:t>
      </w:r>
    </w:p>
    <w:p>
      <w:pPr>
        <w:autoSpaceDE w:val="0"/>
        <w:autoSpaceDN w:val="0"/>
        <w:adjustRightInd w:val="0"/>
        <w:spacing w:line="600" w:lineRule="exact"/>
        <w:ind w:right="-2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（三）如双方成交：</w:t>
      </w:r>
    </w:p>
    <w:p>
      <w:pPr>
        <w:autoSpaceDE w:val="0"/>
        <w:autoSpaceDN w:val="0"/>
        <w:adjustRightInd w:val="0"/>
        <w:spacing w:line="600" w:lineRule="exact"/>
        <w:ind w:right="-8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val="en-US" w:eastAsia="zh-CN"/>
        </w:rPr>
        <w:t>1.</w:t>
      </w:r>
      <w:r>
        <w:rPr>
          <w:rFonts w:hint="eastAsia" w:ascii="方正仿宋_GBK" w:hAnsi="方正仿宋_GBK" w:eastAsia="方正仿宋_GBK" w:cs="方正仿宋_GBK"/>
          <w:snapToGrid w:val="0"/>
          <w:kern w:val="0"/>
          <w:sz w:val="32"/>
          <w:szCs w:val="32"/>
        </w:rPr>
        <w:t>我方承诺在收到成交确认书后，在确认书规定的期限内与你方签订合同。</w:t>
      </w:r>
    </w:p>
    <w:p>
      <w:pPr>
        <w:autoSpaceDE w:val="0"/>
        <w:autoSpaceDN w:val="0"/>
        <w:adjustRightInd w:val="0"/>
        <w:spacing w:line="600" w:lineRule="exact"/>
        <w:ind w:right="-2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val="en-US" w:eastAsia="zh-CN"/>
        </w:rPr>
        <w:t>2.</w:t>
      </w:r>
      <w:r>
        <w:rPr>
          <w:rFonts w:hint="eastAsia" w:ascii="方正仿宋_GBK" w:hAnsi="方正仿宋_GBK" w:eastAsia="方正仿宋_GBK" w:cs="方正仿宋_GBK"/>
          <w:snapToGrid w:val="0"/>
          <w:kern w:val="0"/>
          <w:sz w:val="32"/>
          <w:szCs w:val="32"/>
        </w:rPr>
        <w:t>随同本报价函递交的报价函附录属于合同文件的组成部分。</w:t>
      </w:r>
    </w:p>
    <w:p>
      <w:pPr>
        <w:autoSpaceDE w:val="0"/>
        <w:autoSpaceDN w:val="0"/>
        <w:adjustRightInd w:val="0"/>
        <w:spacing w:line="600" w:lineRule="exact"/>
        <w:ind w:right="-2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val="en-US" w:eastAsia="zh-CN"/>
        </w:rPr>
        <w:t>3.</w:t>
      </w:r>
      <w:r>
        <w:rPr>
          <w:rFonts w:hint="eastAsia" w:ascii="方正仿宋_GBK" w:hAnsi="方正仿宋_GBK" w:eastAsia="方正仿宋_GBK" w:cs="方正仿宋_GBK"/>
          <w:snapToGrid w:val="0"/>
          <w:kern w:val="0"/>
          <w:sz w:val="32"/>
          <w:szCs w:val="32"/>
        </w:rPr>
        <w:t>我方承诺在合同约定的期限内完成并移交全部合同项目。</w:t>
      </w:r>
    </w:p>
    <w:p>
      <w:pPr>
        <w:autoSpaceDE w:val="0"/>
        <w:autoSpaceDN w:val="0"/>
        <w:adjustRightInd w:val="0"/>
        <w:spacing w:line="600" w:lineRule="exact"/>
        <w:ind w:right="-9"/>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（四）我方在此声明，所递交的报价文件及有关资料内容完整、真实和准确。</w:t>
      </w:r>
    </w:p>
    <w:p>
      <w:pPr>
        <w:tabs>
          <w:tab w:val="left" w:pos="4940"/>
        </w:tabs>
        <w:autoSpaceDE w:val="0"/>
        <w:autoSpaceDN w:val="0"/>
        <w:adjustRightInd w:val="0"/>
        <w:spacing w:line="600" w:lineRule="exact"/>
        <w:ind w:right="-20"/>
        <w:jc w:val="lef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single"/>
        </w:rPr>
        <w:tab/>
      </w:r>
      <w:r>
        <w:rPr>
          <w:rFonts w:hint="eastAsia" w:ascii="方正仿宋_GBK" w:hAnsi="方正仿宋_GBK" w:eastAsia="方正仿宋_GBK" w:cs="方正仿宋_GBK"/>
          <w:snapToGrid w:val="0"/>
          <w:kern w:val="0"/>
          <w:sz w:val="32"/>
          <w:szCs w:val="32"/>
        </w:rPr>
        <w:t>（其他补充说明）。</w:t>
      </w:r>
    </w:p>
    <w:p>
      <w:pPr>
        <w:pStyle w:val="11"/>
        <w:ind w:firstLine="210"/>
        <w:rPr>
          <w:rFonts w:hint="eastAsia" w:ascii="方正仿宋_GBK" w:hAnsi="方正仿宋_GBK" w:eastAsia="方正仿宋_GBK" w:cs="方正仿宋_GBK"/>
          <w:sz w:val="32"/>
          <w:szCs w:val="32"/>
        </w:rPr>
      </w:pPr>
    </w:p>
    <w:p>
      <w:pPr>
        <w:tabs>
          <w:tab w:val="left" w:pos="7140"/>
          <w:tab w:val="left" w:pos="7560"/>
          <w:tab w:val="left" w:pos="8300"/>
        </w:tabs>
        <w:autoSpaceDE w:val="0"/>
        <w:autoSpaceDN w:val="0"/>
        <w:adjustRightInd w:val="0"/>
        <w:spacing w:line="600" w:lineRule="exact"/>
        <w:ind w:right="770"/>
        <w:jc w:val="righ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报价人：</w:t>
      </w:r>
      <w:r>
        <w:rPr>
          <w:rFonts w:hint="eastAsia" w:ascii="方正仿宋_GBK" w:hAnsi="方正仿宋_GBK" w:eastAsia="方正仿宋_GBK" w:cs="方正仿宋_GBK"/>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（盖单位章）</w:t>
      </w:r>
    </w:p>
    <w:p>
      <w:pPr>
        <w:tabs>
          <w:tab w:val="left" w:pos="6000"/>
          <w:tab w:val="left" w:pos="7040"/>
          <w:tab w:val="left" w:pos="8100"/>
        </w:tabs>
        <w:autoSpaceDE w:val="0"/>
        <w:autoSpaceDN w:val="0"/>
        <w:adjustRightInd w:val="0"/>
        <w:spacing w:line="600" w:lineRule="exact"/>
        <w:ind w:right="-23" w:firstLine="4480" w:firstLineChars="1400"/>
        <w:jc w:val="right"/>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rPr>
        <w:t>日</w:t>
      </w:r>
      <w:bookmarkStart w:id="2" w:name="_Toc16220"/>
      <w:bookmarkStart w:id="3" w:name="_Toc224103497"/>
      <w:bookmarkStart w:id="4" w:name="_Toc287607869"/>
      <w:bookmarkStart w:id="5" w:name="_Toc277082645"/>
      <w:bookmarkStart w:id="6" w:name="_Toc277082648"/>
      <w:bookmarkStart w:id="7" w:name="_Toc224103501"/>
      <w:bookmarkStart w:id="8" w:name="_Toc287607873"/>
      <w:bookmarkStart w:id="9" w:name="_Toc354501721"/>
    </w:p>
    <w:p>
      <w:pPr>
        <w:pStyle w:val="11"/>
        <w:ind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napToGrid w:val="0"/>
          <w:kern w:val="0"/>
          <w:sz w:val="32"/>
          <w:szCs w:val="32"/>
        </w:rPr>
        <w:t>注：报价金额大小写须一致；若不一致，以有利于招标人的金额为准。</w:t>
      </w:r>
    </w:p>
    <w:p>
      <w:pPr>
        <w:spacing w:line="600" w:lineRule="exact"/>
        <w:jc w:val="left"/>
        <w:rPr>
          <w:rFonts w:ascii="Times New Roman" w:hAnsi="Times New Roman" w:eastAsia="方正仿宋_GBK" w:cs="Times New Roman"/>
          <w:sz w:val="30"/>
          <w:szCs w:val="30"/>
        </w:rPr>
      </w:pPr>
      <w:r>
        <w:rPr>
          <w:rFonts w:hint="eastAsia" w:ascii="方正黑体_GBK" w:hAnsi="方正黑体_GBK" w:eastAsia="方正黑体_GBK" w:cs="方正黑体_GBK"/>
          <w:sz w:val="30"/>
          <w:szCs w:val="30"/>
        </w:rPr>
        <w:t>法定代表人身份证明及授权委托书</w:t>
      </w:r>
      <w:bookmarkEnd w:id="2"/>
      <w:bookmarkEnd w:id="3"/>
      <w:bookmarkEnd w:id="4"/>
      <w:bookmarkEnd w:id="5"/>
      <w:r>
        <w:rPr>
          <w:rFonts w:hint="eastAsia" w:ascii="方正黑体_GBK" w:hAnsi="方正黑体_GBK" w:eastAsia="方正黑体_GBK" w:cs="方正黑体_GBK"/>
          <w:sz w:val="30"/>
          <w:szCs w:val="30"/>
        </w:rPr>
        <w:t>格式</w:t>
      </w:r>
    </w:p>
    <w:p>
      <w:pPr>
        <w:spacing w:line="6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法定代表人身份证明</w:t>
      </w:r>
    </w:p>
    <w:p>
      <w:pPr>
        <w:tabs>
          <w:tab w:val="left" w:pos="5565"/>
        </w:tabs>
        <w:autoSpaceDE w:val="0"/>
        <w:autoSpaceDN w:val="0"/>
        <w:adjustRightInd w:val="0"/>
        <w:snapToGrid w:val="0"/>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投标人名称：</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p>
    <w:p>
      <w:pPr>
        <w:tabs>
          <w:tab w:val="left" w:pos="5475"/>
        </w:tabs>
        <w:autoSpaceDE w:val="0"/>
        <w:autoSpaceDN w:val="0"/>
        <w:adjustRightInd w:val="0"/>
        <w:snapToGrid w:val="0"/>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单位性质：</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p>
    <w:p>
      <w:pPr>
        <w:tabs>
          <w:tab w:val="left" w:pos="5475"/>
        </w:tabs>
        <w:autoSpaceDE w:val="0"/>
        <w:autoSpaceDN w:val="0"/>
        <w:adjustRightInd w:val="0"/>
        <w:snapToGrid w:val="0"/>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地址：</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p>
    <w:p>
      <w:pPr>
        <w:tabs>
          <w:tab w:val="left" w:pos="2520"/>
          <w:tab w:val="left" w:pos="3836"/>
        </w:tabs>
        <w:autoSpaceDE w:val="0"/>
        <w:autoSpaceDN w:val="0"/>
        <w:adjustRightInd w:val="0"/>
        <w:snapToGrid w:val="0"/>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成立时间：</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r>
        <w:rPr>
          <w:rFonts w:ascii="Times New Roman" w:hAnsi="Times New Roman" w:eastAsia="方正仿宋_GBK" w:cs="Times New Roman"/>
          <w:spacing w:val="-1"/>
          <w:kern w:val="0"/>
          <w:sz w:val="32"/>
          <w:szCs w:val="32"/>
        </w:rPr>
        <w:t>年</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spacing w:val="-1"/>
          <w:kern w:val="0"/>
          <w:sz w:val="32"/>
          <w:szCs w:val="32"/>
        </w:rPr>
        <w:t>月</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日</w:t>
      </w:r>
    </w:p>
    <w:p>
      <w:pPr>
        <w:tabs>
          <w:tab w:val="left" w:pos="5475"/>
        </w:tabs>
        <w:autoSpaceDE w:val="0"/>
        <w:autoSpaceDN w:val="0"/>
        <w:adjustRightInd w:val="0"/>
        <w:snapToGrid w:val="0"/>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经营期限：</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p>
    <w:p>
      <w:pPr>
        <w:tabs>
          <w:tab w:val="left" w:pos="1580"/>
          <w:tab w:val="left" w:pos="3260"/>
          <w:tab w:val="left" w:pos="4840"/>
          <w:tab w:val="left" w:pos="6300"/>
        </w:tabs>
        <w:autoSpaceDE w:val="0"/>
        <w:autoSpaceDN w:val="0"/>
        <w:adjustRightInd w:val="0"/>
        <w:snapToGrid w:val="0"/>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姓名：</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r>
        <w:rPr>
          <w:rFonts w:ascii="Times New Roman" w:hAnsi="Times New Roman" w:eastAsia="方正仿宋_GBK" w:cs="Times New Roman"/>
          <w:kern w:val="0"/>
          <w:sz w:val="32"/>
          <w:szCs w:val="32"/>
        </w:rPr>
        <w:t xml:space="preserve"> 性别</w:t>
      </w:r>
      <w:r>
        <w:rPr>
          <w:rFonts w:ascii="Times New Roman" w:hAnsi="Times New Roman" w:eastAsia="方正仿宋_GBK" w:cs="Times New Roman"/>
          <w:spacing w:val="-1"/>
          <w:kern w:val="0"/>
          <w:sz w:val="32"/>
          <w:szCs w:val="32"/>
        </w:rPr>
        <w:t>：</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pacing w:val="-1"/>
          <w:kern w:val="0"/>
          <w:sz w:val="32"/>
          <w:szCs w:val="32"/>
        </w:rPr>
        <w:t>年</w:t>
      </w:r>
      <w:r>
        <w:rPr>
          <w:rFonts w:ascii="Times New Roman" w:hAnsi="Times New Roman" w:eastAsia="方正仿宋_GBK" w:cs="Times New Roman"/>
          <w:kern w:val="0"/>
          <w:sz w:val="32"/>
          <w:szCs w:val="32"/>
        </w:rPr>
        <w:t>龄：</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r>
        <w:rPr>
          <w:rFonts w:ascii="Times New Roman" w:hAnsi="Times New Roman" w:eastAsia="方正仿宋_GBK" w:cs="Times New Roman"/>
          <w:kern w:val="0"/>
          <w:sz w:val="32"/>
          <w:szCs w:val="32"/>
        </w:rPr>
        <w:t>职务：</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r>
        <w:rPr>
          <w:rFonts w:ascii="Times New Roman" w:hAnsi="Times New Roman" w:eastAsia="方正仿宋_GBK" w:cs="Times New Roman"/>
          <w:kern w:val="0"/>
          <w:sz w:val="32"/>
          <w:szCs w:val="32"/>
        </w:rPr>
        <w:t>系</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u w:val="single"/>
        </w:rPr>
        <w:tab/>
      </w:r>
      <w:r>
        <w:rPr>
          <w:rFonts w:ascii="Times New Roman" w:hAnsi="Times New Roman" w:eastAsia="方正仿宋_GBK" w:cs="Times New Roman"/>
          <w:kern w:val="0"/>
          <w:sz w:val="32"/>
          <w:szCs w:val="32"/>
        </w:rPr>
        <w:t xml:space="preserve"> （投标人名称）的法定代表人。</w:t>
      </w:r>
    </w:p>
    <w:p>
      <w:pPr>
        <w:autoSpaceDE w:val="0"/>
        <w:autoSpaceDN w:val="0"/>
        <w:adjustRightInd w:val="0"/>
        <w:snapToGrid w:val="0"/>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特此证明。</w:t>
      </w:r>
    </w:p>
    <w:p>
      <w:pPr>
        <w:autoSpaceDE w:val="0"/>
        <w:autoSpaceDN w:val="0"/>
        <w:adjustRightInd w:val="0"/>
        <w:snapToGrid w:val="0"/>
        <w:spacing w:line="600" w:lineRule="exact"/>
        <w:jc w:val="left"/>
        <w:rPr>
          <w:rFonts w:ascii="Times New Roman" w:hAnsi="Times New Roman" w:eastAsia="方正仿宋_GBK" w:cs="Times New Roman"/>
          <w:kern w:val="0"/>
          <w:sz w:val="32"/>
          <w:szCs w:val="32"/>
        </w:rPr>
      </w:pPr>
    </w:p>
    <w:p>
      <w:pPr>
        <w:tabs>
          <w:tab w:val="left" w:pos="5460"/>
        </w:tabs>
        <w:autoSpaceDE w:val="0"/>
        <w:autoSpaceDN w:val="0"/>
        <w:adjustRightInd w:val="0"/>
        <w:snapToGrid w:val="0"/>
        <w:spacing w:line="600" w:lineRule="exact"/>
        <w:ind w:firstLine="3840" w:firstLineChars="1200"/>
        <w:jc w:val="righ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投标</w:t>
      </w:r>
      <w:r>
        <w:rPr>
          <w:rFonts w:ascii="Times New Roman" w:hAnsi="Times New Roman" w:eastAsia="方正仿宋_GBK" w:cs="Times New Roman"/>
          <w:spacing w:val="-1"/>
          <w:kern w:val="0"/>
          <w:sz w:val="32"/>
          <w:szCs w:val="32"/>
        </w:rPr>
        <w:t>人</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spacing w:val="-1"/>
          <w:kern w:val="0"/>
          <w:sz w:val="32"/>
          <w:szCs w:val="32"/>
        </w:rPr>
        <w:t>（</w:t>
      </w:r>
      <w:r>
        <w:rPr>
          <w:rFonts w:ascii="Times New Roman" w:hAnsi="Times New Roman" w:eastAsia="方正仿宋_GBK" w:cs="Times New Roman"/>
          <w:kern w:val="0"/>
          <w:sz w:val="32"/>
          <w:szCs w:val="32"/>
        </w:rPr>
        <w:t>盖单位章）</w:t>
      </w:r>
    </w:p>
    <w:p>
      <w:pPr>
        <w:tabs>
          <w:tab w:val="left" w:pos="3455"/>
          <w:tab w:val="left" w:pos="5460"/>
          <w:tab w:val="left" w:pos="6400"/>
        </w:tabs>
        <w:autoSpaceDE w:val="0"/>
        <w:autoSpaceDN w:val="0"/>
        <w:adjustRightInd w:val="0"/>
        <w:snapToGrid w:val="0"/>
        <w:spacing w:line="600" w:lineRule="exact"/>
        <w:ind w:firstLine="3840" w:firstLineChars="600"/>
        <w:jc w:val="right"/>
        <w:rPr>
          <w:rFonts w:ascii="Times New Roman" w:hAnsi="Times New Roman" w:eastAsia="方正仿宋_GBK" w:cs="Times New Roman"/>
          <w:kern w:val="0"/>
          <w:sz w:val="32"/>
          <w:szCs w:val="32"/>
        </w:rPr>
      </w:pP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spacing w:val="-1"/>
          <w:kern w:val="0"/>
          <w:sz w:val="32"/>
          <w:szCs w:val="32"/>
        </w:rPr>
        <w:t>年</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rPr>
        <w:t>月</w:t>
      </w:r>
      <w:r>
        <w:rPr>
          <w:rFonts w:ascii="Times New Roman" w:hAnsi="Times New Roman" w:eastAsia="方正仿宋_GBK" w:cs="Times New Roman"/>
          <w:w w:val="200"/>
          <w:kern w:val="0"/>
          <w:sz w:val="32"/>
          <w:szCs w:val="32"/>
          <w:u w:val="single"/>
        </w:rPr>
        <w:t xml:space="preserve">   </w:t>
      </w:r>
      <w:r>
        <w:rPr>
          <w:rFonts w:ascii="Times New Roman" w:hAnsi="Times New Roman" w:eastAsia="方正仿宋_GBK" w:cs="Times New Roman"/>
          <w:kern w:val="0"/>
          <w:sz w:val="32"/>
          <w:szCs w:val="32"/>
        </w:rPr>
        <w:t>日</w:t>
      </w:r>
    </w:p>
    <w:p>
      <w:pPr>
        <w:autoSpaceDE w:val="0"/>
        <w:autoSpaceDN w:val="0"/>
        <w:adjustRightInd w:val="0"/>
        <w:snapToGrid w:val="0"/>
        <w:spacing w:line="600" w:lineRule="exact"/>
        <w:jc w:val="left"/>
        <w:rPr>
          <w:rFonts w:ascii="Times New Roman" w:hAnsi="Times New Roman" w:eastAsia="方正仿宋_GBK" w:cs="Times New Roman"/>
          <w:kern w:val="0"/>
          <w:sz w:val="32"/>
          <w:szCs w:val="32"/>
          <w:u w:val="single"/>
        </w:rPr>
      </w:pPr>
      <w:bookmarkStart w:id="10" w:name="OLE_LINK23"/>
      <w:bookmarkStart w:id="11" w:name="OLE_LINK22"/>
    </w:p>
    <w:p>
      <w:pPr>
        <w:autoSpaceDE w:val="0"/>
        <w:autoSpaceDN w:val="0"/>
        <w:adjustRightInd w:val="0"/>
        <w:snapToGrid w:val="0"/>
        <w:spacing w:line="600" w:lineRule="exact"/>
        <w:jc w:val="left"/>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u w:val="single"/>
        </w:rPr>
        <w:t>注：法定代表人的签字必须是亲笔签名，不得使用印章、签名章或其他电子制版签名。法定代表人身份证明需按上述格式填写完整，不可缺少内容。在</w:t>
      </w:r>
      <w:r>
        <w:rPr>
          <w:rFonts w:hint="eastAsia" w:ascii="Times New Roman" w:hAnsi="Times New Roman" w:eastAsia="方正仿宋_GBK" w:cs="Times New Roman"/>
          <w:kern w:val="0"/>
          <w:sz w:val="32"/>
          <w:szCs w:val="32"/>
          <w:u w:val="single"/>
          <w:lang w:val="en-US" w:eastAsia="zh-CN"/>
        </w:rPr>
        <w:t>此</w:t>
      </w:r>
      <w:r>
        <w:rPr>
          <w:rFonts w:ascii="Times New Roman" w:hAnsi="Times New Roman" w:eastAsia="方正仿宋_GBK" w:cs="Times New Roman"/>
          <w:kern w:val="0"/>
          <w:sz w:val="32"/>
          <w:szCs w:val="32"/>
          <w:u w:val="single"/>
        </w:rPr>
        <w:t>基础上增加内容的不影响其有效性。</w:t>
      </w:r>
    </w:p>
    <w:bookmarkEnd w:id="10"/>
    <w:bookmarkEnd w:id="11"/>
    <w:p>
      <w:pPr>
        <w:tabs>
          <w:tab w:val="left" w:pos="1680"/>
          <w:tab w:val="left" w:pos="4215"/>
          <w:tab w:val="left" w:pos="4305"/>
          <w:tab w:val="left" w:pos="8000"/>
        </w:tabs>
        <w:autoSpaceDE w:val="0"/>
        <w:autoSpaceDN w:val="0"/>
        <w:adjustRightInd w:val="0"/>
        <w:snapToGrid w:val="0"/>
        <w:spacing w:line="600" w:lineRule="exact"/>
        <w:ind w:firstLine="3520" w:firstLineChars="11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本人</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w w:val="200"/>
          <w:kern w:val="0"/>
          <w:sz w:val="32"/>
          <w:szCs w:val="32"/>
          <w:u w:val="single"/>
          <w:lang w:val="en-US" w:eastAsia="zh-CN"/>
        </w:rPr>
        <w:t xml:space="preserve"> </w:t>
      </w:r>
      <w:r>
        <w:rPr>
          <w:rFonts w:hint="eastAsia" w:ascii="方正仿宋_GBK" w:hAnsi="方正仿宋_GBK" w:eastAsia="方正仿宋_GBK" w:cs="方正仿宋_GBK"/>
          <w:kern w:val="0"/>
          <w:sz w:val="32"/>
          <w:szCs w:val="32"/>
        </w:rPr>
        <w:t>（姓名）系</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pacing w:val="-1"/>
          <w:kern w:val="0"/>
          <w:sz w:val="32"/>
          <w:szCs w:val="32"/>
        </w:rPr>
        <w:t>投</w:t>
      </w:r>
      <w:r>
        <w:rPr>
          <w:rFonts w:hint="eastAsia" w:ascii="方正仿宋_GBK" w:hAnsi="方正仿宋_GBK" w:eastAsia="方正仿宋_GBK" w:cs="方正仿宋_GBK"/>
          <w:kern w:val="0"/>
          <w:sz w:val="32"/>
          <w:szCs w:val="32"/>
        </w:rPr>
        <w:t>标人名称</w:t>
      </w:r>
      <w:r>
        <w:rPr>
          <w:rFonts w:hint="eastAsia" w:ascii="方正仿宋_GBK" w:hAnsi="方正仿宋_GBK" w:eastAsia="方正仿宋_GBK" w:cs="方正仿宋_GBK"/>
          <w:spacing w:val="1"/>
          <w:kern w:val="0"/>
          <w:sz w:val="32"/>
          <w:szCs w:val="32"/>
        </w:rPr>
        <w:t>）</w:t>
      </w:r>
      <w:r>
        <w:rPr>
          <w:rFonts w:hint="eastAsia" w:ascii="方正仿宋_GBK" w:hAnsi="方正仿宋_GBK" w:eastAsia="方正仿宋_GBK" w:cs="方正仿宋_GBK"/>
          <w:kern w:val="0"/>
          <w:sz w:val="32"/>
          <w:szCs w:val="32"/>
        </w:rPr>
        <w:t>的法定代</w:t>
      </w:r>
      <w:r>
        <w:rPr>
          <w:rFonts w:hint="eastAsia" w:ascii="方正仿宋_GBK" w:hAnsi="方正仿宋_GBK" w:eastAsia="方正仿宋_GBK" w:cs="方正仿宋_GBK"/>
          <w:spacing w:val="1"/>
          <w:kern w:val="0"/>
          <w:sz w:val="32"/>
          <w:szCs w:val="32"/>
        </w:rPr>
        <w:t>表</w:t>
      </w:r>
      <w:r>
        <w:rPr>
          <w:rFonts w:hint="eastAsia" w:ascii="方正仿宋_GBK" w:hAnsi="方正仿宋_GBK" w:eastAsia="方正仿宋_GBK" w:cs="方正仿宋_GBK"/>
          <w:kern w:val="0"/>
          <w:sz w:val="32"/>
          <w:szCs w:val="32"/>
        </w:rPr>
        <w:t>人，现委托</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（姓 名）为我方代理人。代理人根据授权，以我方名义签署、澄清、说明、补正、递交、撤回、 修改</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（项</w:t>
      </w:r>
      <w:r>
        <w:rPr>
          <w:rFonts w:hint="eastAsia" w:ascii="方正仿宋_GBK" w:hAnsi="方正仿宋_GBK" w:eastAsia="方正仿宋_GBK" w:cs="方正仿宋_GBK"/>
          <w:spacing w:val="-1"/>
          <w:kern w:val="0"/>
          <w:sz w:val="32"/>
          <w:szCs w:val="32"/>
        </w:rPr>
        <w:t>目</w:t>
      </w:r>
      <w:r>
        <w:rPr>
          <w:rFonts w:hint="eastAsia" w:ascii="方正仿宋_GBK" w:hAnsi="方正仿宋_GBK" w:eastAsia="方正仿宋_GBK" w:cs="方正仿宋_GBK"/>
          <w:kern w:val="0"/>
          <w:sz w:val="32"/>
          <w:szCs w:val="32"/>
        </w:rPr>
        <w:t>名称）投标文件、签订合同和处理有关事宜，其法律后果由我方承担。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480" w:lineRule="exact"/>
        <w:ind w:firstLine="42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委托</w:t>
      </w:r>
      <w:r>
        <w:rPr>
          <w:rFonts w:hint="eastAsia" w:ascii="方正仿宋_GBK" w:hAnsi="方正仿宋_GBK" w:eastAsia="方正仿宋_GBK" w:cs="方正仿宋_GBK"/>
          <w:spacing w:val="-1"/>
          <w:kern w:val="0"/>
          <w:sz w:val="32"/>
          <w:szCs w:val="32"/>
        </w:rPr>
        <w:t>期</w:t>
      </w:r>
      <w:r>
        <w:rPr>
          <w:rFonts w:hint="eastAsia" w:ascii="方正仿宋_GBK" w:hAnsi="方正仿宋_GBK" w:eastAsia="方正仿宋_GBK" w:cs="方正仿宋_GBK"/>
          <w:kern w:val="0"/>
          <w:sz w:val="32"/>
          <w:szCs w:val="32"/>
        </w:rPr>
        <w:t>限：</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u w:val="single"/>
        </w:rPr>
        <w:tab/>
      </w:r>
      <w:r>
        <w:rPr>
          <w:rFonts w:hint="eastAsia" w:ascii="方正仿宋_GBK" w:hAnsi="方正仿宋_GBK" w:eastAsia="方正仿宋_GBK" w:cs="方正仿宋_GBK"/>
          <w:kern w:val="0"/>
          <w:sz w:val="32"/>
          <w:szCs w:val="32"/>
        </w:rPr>
        <w:t xml:space="preserve">。 </w:t>
      </w:r>
    </w:p>
    <w:p>
      <w:pPr>
        <w:tabs>
          <w:tab w:val="left" w:pos="1680"/>
          <w:tab w:val="left" w:pos="4215"/>
          <w:tab w:val="left" w:pos="4305"/>
          <w:tab w:val="left" w:pos="8000"/>
        </w:tabs>
        <w:autoSpaceDE w:val="0"/>
        <w:autoSpaceDN w:val="0"/>
        <w:adjustRightInd w:val="0"/>
        <w:snapToGrid w:val="0"/>
        <w:spacing w:line="480" w:lineRule="exact"/>
        <w:ind w:firstLine="42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代理人无转委托权。</w:t>
      </w:r>
    </w:p>
    <w:p>
      <w:pPr>
        <w:tabs>
          <w:tab w:val="left" w:pos="1680"/>
          <w:tab w:val="left" w:pos="4215"/>
          <w:tab w:val="left" w:pos="4305"/>
          <w:tab w:val="left" w:pos="8000"/>
        </w:tabs>
        <w:autoSpaceDE w:val="0"/>
        <w:autoSpaceDN w:val="0"/>
        <w:adjustRightInd w:val="0"/>
        <w:snapToGrid w:val="0"/>
        <w:spacing w:line="480" w:lineRule="exact"/>
        <w:ind w:firstLine="42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附：法定代表人身份证明。</w:t>
      </w:r>
    </w:p>
    <w:p>
      <w:pPr>
        <w:tabs>
          <w:tab w:val="left" w:pos="4200"/>
          <w:tab w:val="left" w:pos="4620"/>
        </w:tabs>
        <w:autoSpaceDE w:val="0"/>
        <w:autoSpaceDN w:val="0"/>
        <w:adjustRightInd w:val="0"/>
        <w:snapToGrid w:val="0"/>
        <w:spacing w:line="480" w:lineRule="exact"/>
        <w:ind w:right="560"/>
        <w:rPr>
          <w:rFonts w:hint="eastAsia" w:ascii="方正仿宋_GBK" w:hAnsi="方正仿宋_GBK" w:eastAsia="方正仿宋_GBK" w:cs="方正仿宋_GBK"/>
          <w:kern w:val="0"/>
          <w:sz w:val="32"/>
          <w:szCs w:val="32"/>
        </w:rPr>
      </w:pPr>
    </w:p>
    <w:p>
      <w:pPr>
        <w:tabs>
          <w:tab w:val="left" w:pos="4200"/>
          <w:tab w:val="left" w:pos="4620"/>
        </w:tabs>
        <w:autoSpaceDE w:val="0"/>
        <w:autoSpaceDN w:val="0"/>
        <w:adjustRightInd w:val="0"/>
        <w:snapToGrid w:val="0"/>
        <w:spacing w:line="480" w:lineRule="exact"/>
        <w:ind w:right="560" w:firstLine="0" w:firstLineChars="0"/>
        <w:jc w:val="righ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投  标  人：</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pacing w:val="-1"/>
          <w:kern w:val="0"/>
          <w:sz w:val="32"/>
          <w:szCs w:val="32"/>
        </w:rPr>
        <w:t>盖</w:t>
      </w:r>
      <w:r>
        <w:rPr>
          <w:rFonts w:hint="eastAsia" w:ascii="方正仿宋_GBK" w:hAnsi="方正仿宋_GBK" w:eastAsia="方正仿宋_GBK" w:cs="方正仿宋_GBK"/>
          <w:kern w:val="0"/>
          <w:sz w:val="32"/>
          <w:szCs w:val="32"/>
        </w:rPr>
        <w:t xml:space="preserve">单位章） </w:t>
      </w:r>
    </w:p>
    <w:p>
      <w:pPr>
        <w:tabs>
          <w:tab w:val="left" w:pos="5645"/>
        </w:tabs>
        <w:autoSpaceDE w:val="0"/>
        <w:autoSpaceDN w:val="0"/>
        <w:adjustRightInd w:val="0"/>
        <w:snapToGrid w:val="0"/>
        <w:spacing w:line="480" w:lineRule="exact"/>
        <w:ind w:firstLine="2560" w:firstLineChars="8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法定代表人：</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（签字）</w:t>
      </w:r>
    </w:p>
    <w:p>
      <w:pPr>
        <w:tabs>
          <w:tab w:val="left" w:pos="5260"/>
        </w:tabs>
        <w:autoSpaceDE w:val="0"/>
        <w:autoSpaceDN w:val="0"/>
        <w:adjustRightInd w:val="0"/>
        <w:snapToGrid w:val="0"/>
        <w:spacing w:line="480" w:lineRule="exact"/>
        <w:ind w:firstLine="2560" w:firstLineChars="8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身份证号码：</w:t>
      </w:r>
      <w:r>
        <w:rPr>
          <w:rFonts w:hint="eastAsia" w:ascii="方正仿宋_GBK" w:hAnsi="方正仿宋_GBK" w:eastAsia="方正仿宋_GBK" w:cs="方正仿宋_GBK"/>
          <w:w w:val="200"/>
          <w:kern w:val="0"/>
          <w:sz w:val="32"/>
          <w:szCs w:val="32"/>
          <w:u w:val="single"/>
        </w:rPr>
        <w:t xml:space="preserve">       </w:t>
      </w:r>
    </w:p>
    <w:p>
      <w:pPr>
        <w:tabs>
          <w:tab w:val="left" w:pos="6720"/>
        </w:tabs>
        <w:autoSpaceDE w:val="0"/>
        <w:autoSpaceDN w:val="0"/>
        <w:adjustRightInd w:val="0"/>
        <w:snapToGrid w:val="0"/>
        <w:spacing w:line="480" w:lineRule="exact"/>
        <w:ind w:firstLine="2560" w:firstLineChars="8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委托代理人：</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（签</w:t>
      </w:r>
      <w:r>
        <w:rPr>
          <w:rFonts w:hint="eastAsia" w:ascii="方正仿宋_GBK" w:hAnsi="方正仿宋_GBK" w:eastAsia="方正仿宋_GBK" w:cs="方正仿宋_GBK"/>
          <w:spacing w:val="-1"/>
          <w:kern w:val="0"/>
          <w:sz w:val="32"/>
          <w:szCs w:val="32"/>
        </w:rPr>
        <w:t>字</w:t>
      </w:r>
      <w:r>
        <w:rPr>
          <w:rFonts w:hint="eastAsia" w:ascii="方正仿宋_GBK" w:hAnsi="方正仿宋_GBK" w:eastAsia="方正仿宋_GBK" w:cs="方正仿宋_GBK"/>
          <w:kern w:val="0"/>
          <w:sz w:val="32"/>
          <w:szCs w:val="32"/>
        </w:rPr>
        <w:t>）</w:t>
      </w:r>
    </w:p>
    <w:p>
      <w:pPr>
        <w:tabs>
          <w:tab w:val="left" w:pos="5260"/>
        </w:tabs>
        <w:autoSpaceDE w:val="0"/>
        <w:autoSpaceDN w:val="0"/>
        <w:adjustRightInd w:val="0"/>
        <w:snapToGrid w:val="0"/>
        <w:spacing w:line="480" w:lineRule="exact"/>
        <w:ind w:firstLine="2560" w:firstLineChars="8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身份证号码：</w:t>
      </w:r>
      <w:r>
        <w:rPr>
          <w:rFonts w:hint="eastAsia" w:ascii="方正仿宋_GBK" w:hAnsi="方正仿宋_GBK" w:eastAsia="方正仿宋_GBK" w:cs="方正仿宋_GBK"/>
          <w:w w:val="200"/>
          <w:kern w:val="0"/>
          <w:sz w:val="32"/>
          <w:szCs w:val="32"/>
          <w:u w:val="single"/>
        </w:rPr>
        <w:t xml:space="preserve">       </w:t>
      </w:r>
    </w:p>
    <w:p>
      <w:pPr>
        <w:tabs>
          <w:tab w:val="left" w:pos="3455"/>
          <w:tab w:val="left" w:pos="5460"/>
          <w:tab w:val="left" w:pos="6400"/>
        </w:tabs>
        <w:autoSpaceDE w:val="0"/>
        <w:autoSpaceDN w:val="0"/>
        <w:adjustRightInd w:val="0"/>
        <w:snapToGrid w:val="0"/>
        <w:spacing w:line="480" w:lineRule="exact"/>
        <w:ind w:firstLine="3840" w:firstLineChars="600"/>
        <w:jc w:val="righ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spacing w:val="-1"/>
          <w:kern w:val="0"/>
          <w:sz w:val="32"/>
          <w:szCs w:val="32"/>
        </w:rPr>
        <w:t>年</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日</w:t>
      </w:r>
    </w:p>
    <w:p>
      <w:pPr>
        <w:tabs>
          <w:tab w:val="left" w:pos="5760"/>
        </w:tabs>
        <w:autoSpaceDE w:val="0"/>
        <w:autoSpaceDN w:val="0"/>
        <w:adjustRightInd w:val="0"/>
        <w:spacing w:line="480" w:lineRule="exact"/>
        <w:ind w:right="1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480" w:lineRule="exact"/>
        <w:ind w:right="1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2.法定代表人身份证明及授权委托书原件装入投标文件一并递交。</w:t>
      </w:r>
    </w:p>
    <w:bookmarkEnd w:id="6"/>
    <w:bookmarkEnd w:id="7"/>
    <w:bookmarkEnd w:id="8"/>
    <w:bookmarkEnd w:id="9"/>
    <w:p>
      <w:pPr>
        <w:pStyle w:val="11"/>
        <w:spacing w:line="480" w:lineRule="exact"/>
        <w:ind w:firstLine="0"/>
        <w:jc w:val="both"/>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3.公司资质</w:t>
      </w:r>
    </w:p>
    <w:p>
      <w:pPr>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pStyle w:val="11"/>
        <w:rPr>
          <w:rFonts w:ascii="Times New Roman" w:hAnsi="Times New Roman" w:eastAsia="方正仿宋_GBK" w:cs="Times New Roman"/>
          <w:sz w:val="30"/>
          <w:szCs w:val="30"/>
        </w:rPr>
      </w:pPr>
      <w:bookmarkStart w:id="13" w:name="_GoBack"/>
      <w:bookmarkEnd w:id="13"/>
    </w:p>
    <w:p>
      <w:pPr>
        <w:pStyle w:val="11"/>
        <w:rPr>
          <w:rFonts w:ascii="Times New Roman" w:hAnsi="Times New Roman" w:eastAsia="方正仿宋_GBK" w:cs="Times New Roman"/>
          <w:sz w:val="30"/>
          <w:szCs w:val="30"/>
        </w:rPr>
      </w:pPr>
    </w:p>
    <w:p>
      <w:pPr>
        <w:pStyle w:val="11"/>
        <w:ind w:firstLine="0"/>
        <w:rPr>
          <w:rFonts w:ascii="Times New Roman" w:hAnsi="Times New Roman" w:eastAsia="方正仿宋_GBK" w:cs="Times New Roman"/>
          <w:sz w:val="30"/>
          <w:szCs w:val="30"/>
        </w:rPr>
      </w:pPr>
    </w:p>
    <w:p>
      <w:pPr>
        <w:pStyle w:val="11"/>
        <w:ind w:firstLine="0"/>
        <w:rPr>
          <w:rFonts w:ascii="Times New Roman" w:hAnsi="Times New Roman" w:eastAsia="方正仿宋_GBK" w:cs="Times New Roman"/>
          <w:sz w:val="30"/>
          <w:szCs w:val="30"/>
        </w:rPr>
      </w:pPr>
    </w:p>
    <w:p>
      <w:pPr>
        <w:spacing w:line="276" w:lineRule="auto"/>
        <w:jc w:val="center"/>
        <w:rPr>
          <w:rFonts w:hint="eastAsia" w:ascii="楷体" w:hAnsi="楷体" w:eastAsia="楷体" w:cs="楷体"/>
          <w:b/>
          <w:sz w:val="36"/>
        </w:rPr>
      </w:pPr>
      <w:r>
        <w:rPr>
          <w:rFonts w:hint="eastAsia" w:ascii="楷体" w:hAnsi="楷体" w:eastAsia="楷体" w:cs="楷体"/>
          <w:b/>
          <w:sz w:val="36"/>
        </w:rPr>
        <w:t>【</w:t>
      </w:r>
      <w:r>
        <w:rPr>
          <w:rFonts w:hint="eastAsia" w:ascii="楷体" w:hAnsi="楷体" w:eastAsia="楷体" w:cs="楷体"/>
          <w:b/>
          <w:sz w:val="36"/>
          <w:szCs w:val="36"/>
        </w:rPr>
        <w:t>重庆市龙商融资担保有限责任公司</w:t>
      </w:r>
      <w:r>
        <w:rPr>
          <w:rFonts w:hint="eastAsia" w:ascii="楷体" w:hAnsi="楷体" w:eastAsia="楷体" w:cs="楷体"/>
          <w:b/>
          <w:sz w:val="36"/>
        </w:rPr>
        <w:t>】</w:t>
      </w:r>
    </w:p>
    <w:p>
      <w:pPr>
        <w:spacing w:line="276" w:lineRule="auto"/>
        <w:jc w:val="center"/>
        <w:rPr>
          <w:rFonts w:hint="eastAsia" w:ascii="楷体" w:hAnsi="楷体" w:eastAsia="楷体" w:cs="楷体"/>
          <w:b/>
          <w:sz w:val="24"/>
        </w:rPr>
      </w:pPr>
      <w:r>
        <w:rPr>
          <w:rFonts w:hint="eastAsia" w:ascii="楷体" w:hAnsi="楷体" w:eastAsia="楷体" w:cs="楷体"/>
          <w:b/>
          <w:sz w:val="28"/>
          <w:szCs w:val="21"/>
        </w:rPr>
        <w:t>（委托方）</w:t>
      </w:r>
    </w:p>
    <w:p>
      <w:pPr>
        <w:spacing w:line="276" w:lineRule="auto"/>
        <w:jc w:val="center"/>
        <w:rPr>
          <w:rFonts w:hint="eastAsia" w:ascii="楷体" w:hAnsi="楷体" w:eastAsia="楷体" w:cs="楷体"/>
          <w:b/>
          <w:sz w:val="32"/>
        </w:rPr>
      </w:pPr>
    </w:p>
    <w:p>
      <w:pPr>
        <w:spacing w:line="276" w:lineRule="auto"/>
        <w:jc w:val="center"/>
        <w:rPr>
          <w:rFonts w:hint="eastAsia" w:ascii="楷体" w:hAnsi="楷体" w:eastAsia="楷体" w:cs="楷体"/>
          <w:b/>
          <w:sz w:val="36"/>
        </w:rPr>
      </w:pPr>
      <w:r>
        <w:rPr>
          <w:rFonts w:hint="eastAsia" w:ascii="楷体" w:hAnsi="楷体" w:eastAsia="楷体" w:cs="楷体"/>
          <w:b/>
          <w:sz w:val="36"/>
        </w:rPr>
        <w:t>与</w:t>
      </w:r>
    </w:p>
    <w:p>
      <w:pPr>
        <w:spacing w:line="276" w:lineRule="auto"/>
        <w:jc w:val="center"/>
        <w:rPr>
          <w:rFonts w:hint="eastAsia" w:ascii="楷体" w:hAnsi="楷体" w:eastAsia="楷体" w:cs="楷体"/>
          <w:b/>
          <w:sz w:val="28"/>
        </w:rPr>
      </w:pPr>
    </w:p>
    <w:p>
      <w:pPr>
        <w:spacing w:line="276" w:lineRule="auto"/>
        <w:jc w:val="center"/>
        <w:rPr>
          <w:rFonts w:hint="eastAsia" w:ascii="楷体" w:hAnsi="楷体" w:eastAsia="楷体" w:cs="楷体"/>
          <w:b/>
          <w:sz w:val="28"/>
          <w:szCs w:val="21"/>
        </w:rPr>
      </w:pPr>
      <w:r>
        <w:rPr>
          <w:rFonts w:hint="eastAsia" w:ascii="楷体" w:hAnsi="楷体" w:eastAsia="楷体" w:cs="楷体"/>
          <w:b/>
          <w:sz w:val="28"/>
          <w:szCs w:val="21"/>
        </w:rPr>
        <w:t>（受托方）</w:t>
      </w:r>
    </w:p>
    <w:p>
      <w:pPr>
        <w:spacing w:line="276" w:lineRule="auto"/>
        <w:jc w:val="center"/>
        <w:rPr>
          <w:rFonts w:hint="eastAsia" w:ascii="楷体" w:hAnsi="楷体" w:eastAsia="楷体" w:cs="楷体"/>
          <w:b/>
          <w:sz w:val="28"/>
        </w:rPr>
      </w:pPr>
    </w:p>
    <w:p>
      <w:pPr>
        <w:spacing w:line="276" w:lineRule="auto"/>
        <w:jc w:val="center"/>
        <w:rPr>
          <w:rFonts w:hint="eastAsia" w:ascii="楷体" w:hAnsi="楷体" w:eastAsia="楷体" w:cs="楷体"/>
          <w:b/>
          <w:sz w:val="36"/>
        </w:rPr>
      </w:pPr>
      <w:r>
        <w:rPr>
          <w:rFonts w:hint="eastAsia" w:ascii="楷体" w:hAnsi="楷体" w:eastAsia="楷体" w:cs="楷体"/>
          <w:b/>
          <w:sz w:val="36"/>
        </w:rPr>
        <w:t>之</w:t>
      </w:r>
    </w:p>
    <w:p>
      <w:pPr>
        <w:spacing w:line="276" w:lineRule="auto"/>
        <w:jc w:val="center"/>
        <w:rPr>
          <w:rFonts w:hint="eastAsia" w:ascii="楷体" w:hAnsi="楷体" w:eastAsia="楷体" w:cs="楷体"/>
          <w:b/>
          <w:sz w:val="24"/>
        </w:rPr>
      </w:pPr>
      <w:r>
        <w:rPr>
          <w:rFonts w:hint="eastAsia" w:ascii="楷体" w:hAnsi="楷体" w:eastAsia="楷体" w:cs="楷体"/>
          <w:b/>
          <w:sz w:val="52"/>
        </w:rPr>
        <w:t>《法律服务委托合同》</w:t>
      </w:r>
    </w:p>
    <w:p>
      <w:pPr>
        <w:spacing w:line="276" w:lineRule="auto"/>
        <w:jc w:val="center"/>
        <w:rPr>
          <w:rFonts w:hint="eastAsia" w:ascii="楷体" w:hAnsi="楷体" w:eastAsia="楷体" w:cs="楷体"/>
          <w:b/>
          <w:sz w:val="24"/>
        </w:rPr>
      </w:pPr>
    </w:p>
    <w:p>
      <w:pPr>
        <w:spacing w:line="276" w:lineRule="auto"/>
        <w:jc w:val="center"/>
        <w:rPr>
          <w:rFonts w:hint="eastAsia" w:ascii="楷体" w:hAnsi="楷体" w:eastAsia="楷体" w:cs="楷体"/>
          <w:b/>
          <w:sz w:val="24"/>
        </w:rPr>
      </w:pPr>
    </w:p>
    <w:p>
      <w:pPr>
        <w:spacing w:line="360" w:lineRule="auto"/>
        <w:jc w:val="center"/>
        <w:rPr>
          <w:rFonts w:hint="eastAsia" w:ascii="楷体" w:hAnsi="楷体" w:eastAsia="楷体" w:cs="楷体"/>
          <w:b/>
          <w:sz w:val="24"/>
          <w:lang w:eastAsia="zh-TW"/>
        </w:rPr>
      </w:pPr>
    </w:p>
    <w:p>
      <w:pPr>
        <w:spacing w:line="360" w:lineRule="auto"/>
        <w:jc w:val="center"/>
        <w:rPr>
          <w:rFonts w:hint="eastAsia" w:ascii="汉仪全唐诗简" w:hAnsi="汉仪全唐诗简" w:eastAsia="汉仪全唐诗简" w:cs="汉仪全唐诗简"/>
          <w:b/>
          <w:sz w:val="28"/>
          <w:szCs w:val="21"/>
          <w:lang w:eastAsia="zh-TW"/>
        </w:rPr>
      </w:pPr>
      <w:r>
        <w:rPr>
          <w:rFonts w:hint="eastAsia" w:ascii="楷体" w:hAnsi="楷体" w:eastAsia="楷体" w:cs="楷体"/>
          <w:b/>
          <w:sz w:val="28"/>
          <w:szCs w:val="21"/>
          <w:lang w:eastAsia="zh-TW"/>
        </w:rPr>
        <w:t>二</w:t>
      </w:r>
      <w:r>
        <w:rPr>
          <w:rFonts w:hint="eastAsia" w:ascii="楷体" w:hAnsi="楷体" w:eastAsia="楷体" w:cs="楷体"/>
          <w:b/>
          <w:sz w:val="28"/>
          <w:szCs w:val="21"/>
        </w:rPr>
        <w:t>〇</w:t>
      </w:r>
      <w:r>
        <w:rPr>
          <w:rFonts w:hint="eastAsia" w:ascii="楷体" w:hAnsi="楷体" w:eastAsia="楷体" w:cs="楷体"/>
          <w:b/>
          <w:sz w:val="28"/>
          <w:szCs w:val="21"/>
          <w:lang w:eastAsia="zh-TW"/>
        </w:rPr>
        <w:t>二</w:t>
      </w:r>
      <w:r>
        <w:rPr>
          <w:rFonts w:hint="eastAsia" w:ascii="楷体" w:hAnsi="楷体" w:eastAsia="楷体" w:cs="楷体"/>
          <w:b/>
          <w:sz w:val="28"/>
          <w:szCs w:val="21"/>
        </w:rPr>
        <w:t>五</w:t>
      </w:r>
      <w:r>
        <w:rPr>
          <w:rFonts w:hint="eastAsia" w:ascii="楷体" w:hAnsi="楷体" w:eastAsia="楷体" w:cs="楷体"/>
          <w:b/>
          <w:sz w:val="28"/>
          <w:szCs w:val="21"/>
          <w:lang w:eastAsia="zh-TW"/>
        </w:rPr>
        <w:t>年</w:t>
      </w:r>
      <w:r>
        <w:rPr>
          <w:rFonts w:hint="eastAsia" w:ascii="楷体" w:hAnsi="楷体" w:eastAsia="楷体" w:cs="楷体"/>
          <w:b/>
          <w:sz w:val="28"/>
          <w:szCs w:val="21"/>
        </w:rPr>
        <w:t>【  】</w:t>
      </w:r>
      <w:r>
        <w:rPr>
          <w:rFonts w:hint="eastAsia" w:ascii="楷体" w:hAnsi="楷体" w:eastAsia="楷体" w:cs="楷体"/>
          <w:b/>
          <w:sz w:val="28"/>
          <w:szCs w:val="21"/>
          <w:lang w:eastAsia="zh-TW"/>
        </w:rPr>
        <w:t>月</w:t>
      </w:r>
    </w:p>
    <w:p>
      <w:pPr>
        <w:snapToGrid w:val="0"/>
        <w:spacing w:line="540" w:lineRule="exact"/>
        <w:rPr>
          <w:rFonts w:ascii="Times New Roman" w:hAnsi="Times New Roman" w:eastAsia="方正仿宋_GBK" w:cs="Times New Roman"/>
          <w:sz w:val="30"/>
          <w:szCs w:val="30"/>
        </w:rPr>
      </w:pPr>
      <w:r>
        <w:rPr>
          <w:rFonts w:ascii="Times New Roman" w:hAnsi="Times New Roman" w:eastAsia="方正仿宋_GBK" w:cs="Times New Roman"/>
          <w:b/>
          <w:bCs/>
          <w:kern w:val="28"/>
          <w:sz w:val="30"/>
          <w:szCs w:val="30"/>
        </w:rPr>
        <w:br w:type="page"/>
      </w:r>
    </w:p>
    <w:p>
      <w:pPr>
        <w:ind w:firstLine="2880" w:firstLineChars="9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专项法律服务合同</w:t>
      </w:r>
    </w:p>
    <w:p>
      <w:pPr>
        <w:ind w:firstLine="0" w:firstLineChars="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合同编号：</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号</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甲  方：重庆</w:t>
      </w:r>
      <w:r>
        <w:rPr>
          <w:rFonts w:hint="eastAsia" w:ascii="Times New Roman" w:hAnsi="Times New Roman" w:eastAsia="方正仿宋_GBK" w:cs="Times New Roman"/>
          <w:sz w:val="32"/>
          <w:szCs w:val="32"/>
        </w:rPr>
        <w:t>市龙商融资担保</w:t>
      </w:r>
      <w:r>
        <w:rPr>
          <w:rFonts w:ascii="Times New Roman" w:hAnsi="Times New Roman" w:eastAsia="方正仿宋_GBK" w:cs="Times New Roman"/>
          <w:sz w:val="32"/>
          <w:szCs w:val="32"/>
        </w:rPr>
        <w:t>有限</w:t>
      </w:r>
      <w:r>
        <w:rPr>
          <w:rFonts w:hint="eastAsia" w:ascii="Times New Roman" w:hAnsi="Times New Roman" w:eastAsia="方正仿宋_GBK" w:cs="Times New Roman"/>
          <w:sz w:val="32"/>
          <w:szCs w:val="32"/>
        </w:rPr>
        <w:t>责任</w:t>
      </w:r>
      <w:r>
        <w:rPr>
          <w:rFonts w:ascii="Times New Roman" w:hAnsi="Times New Roman" w:eastAsia="方正仿宋_GBK" w:cs="Times New Roman"/>
          <w:sz w:val="32"/>
          <w:szCs w:val="32"/>
        </w:rPr>
        <w:t>公司（以下简称“甲方”）</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地  址：重庆市九龙坡区杨家坪正街26号附4号</w:t>
      </w:r>
      <w:r>
        <w:rPr>
          <w:rFonts w:hint="eastAsia" w:ascii="Times New Roman" w:hAnsi="Times New Roman" w:eastAsia="方正仿宋_GBK" w:cs="Times New Roman"/>
          <w:sz w:val="32"/>
          <w:szCs w:val="32"/>
        </w:rPr>
        <w:t>29</w:t>
      </w:r>
      <w:r>
        <w:rPr>
          <w:rFonts w:ascii="Times New Roman" w:hAnsi="Times New Roman" w:eastAsia="方正仿宋_GBK" w:cs="Times New Roman"/>
          <w:sz w:val="32"/>
          <w:szCs w:val="32"/>
        </w:rPr>
        <w:t>-1号</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统一社会信用代码：91500107</w:t>
      </w:r>
      <w:r>
        <w:rPr>
          <w:rFonts w:hint="eastAsia" w:ascii="Times New Roman" w:hAnsi="Times New Roman" w:eastAsia="方正仿宋_GBK" w:cs="Times New Roman"/>
          <w:sz w:val="32"/>
          <w:szCs w:val="32"/>
        </w:rPr>
        <w:t>798034778Y</w:t>
      </w:r>
      <w:r>
        <w:rPr>
          <w:rFonts w:ascii="Times New Roman" w:hAnsi="Times New Roman" w:eastAsia="方正仿宋_GBK" w:cs="Times New Roman"/>
          <w:sz w:val="32"/>
          <w:szCs w:val="32"/>
        </w:rPr>
        <w:t xml:space="preserve">      </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乙  方：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（以下简称“乙方”）</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地  址：</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收款账户：                                  </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开户行：</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户名：</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账  号：</w:t>
      </w:r>
    </w:p>
    <w:p>
      <w:pPr>
        <w:rPr>
          <w:rFonts w:ascii="Times New Roman" w:hAnsi="Times New Roman" w:eastAsia="方正仿宋_GBK" w:cs="Times New Roman"/>
          <w:sz w:val="32"/>
          <w:szCs w:val="32"/>
        </w:rPr>
      </w:pP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甲方为依法经营、预防法律风险，聘请乙方担任</w:t>
      </w:r>
      <w:r>
        <w:rPr>
          <w:rFonts w:hint="eastAsia" w:ascii="Times New Roman" w:hAnsi="Times New Roman" w:eastAsia="方正仿宋_GBK" w:cs="Times New Roman"/>
          <w:sz w:val="32"/>
          <w:szCs w:val="32"/>
        </w:rPr>
        <w:t>代理人</w:t>
      </w:r>
      <w:r>
        <w:rPr>
          <w:rFonts w:ascii="Times New Roman" w:hAnsi="Times New Roman" w:eastAsia="方正仿宋_GBK" w:cs="Times New Roman"/>
          <w:sz w:val="32"/>
          <w:szCs w:val="32"/>
        </w:rPr>
        <w:t>。现双方秉承平等自愿原则，就顾问相关服务内容、收费等友好协商如下：</w:t>
      </w:r>
    </w:p>
    <w:p>
      <w:pPr>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一、委托事项及乙方律师</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乙方接受</w:t>
      </w:r>
      <w:r>
        <w:rPr>
          <w:rFonts w:hint="eastAsia" w:ascii="Times New Roman" w:hAnsi="Times New Roman" w:eastAsia="方正仿宋_GBK" w:cs="Times New Roman"/>
          <w:sz w:val="32"/>
          <w:szCs w:val="32"/>
        </w:rPr>
        <w:t>甲方</w:t>
      </w:r>
      <w:r>
        <w:rPr>
          <w:rFonts w:ascii="Times New Roman" w:hAnsi="Times New Roman" w:eastAsia="方正仿宋_GBK" w:cs="Times New Roman"/>
          <w:sz w:val="32"/>
          <w:szCs w:val="32"/>
        </w:rPr>
        <w:t>聘请，指派</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等律师担任甲方的</w:t>
      </w:r>
      <w:r>
        <w:rPr>
          <w:rFonts w:hint="eastAsia" w:ascii="Times New Roman" w:hAnsi="Times New Roman" w:eastAsia="方正仿宋_GBK" w:cs="Times New Roman"/>
          <w:sz w:val="32"/>
          <w:szCs w:val="32"/>
        </w:rPr>
        <w:t>代理人</w:t>
      </w:r>
      <w:r>
        <w:rPr>
          <w:rFonts w:ascii="Times New Roman" w:hAnsi="Times New Roman" w:eastAsia="方正仿宋_GBK" w:cs="Times New Roman"/>
          <w:sz w:val="32"/>
          <w:szCs w:val="32"/>
        </w:rPr>
        <w:t>，负责提供</w:t>
      </w:r>
      <w:r>
        <w:rPr>
          <w:rFonts w:hint="eastAsia" w:ascii="Times New Roman" w:hAnsi="Times New Roman" w:eastAsia="方正仿宋_GBK" w:cs="Times New Roman"/>
          <w:sz w:val="32"/>
          <w:szCs w:val="32"/>
        </w:rPr>
        <w:t>应诉案件专项法律</w:t>
      </w:r>
      <w:r>
        <w:rPr>
          <w:rFonts w:ascii="Times New Roman" w:hAnsi="Times New Roman" w:eastAsia="方正仿宋_GBK" w:cs="Times New Roman"/>
          <w:sz w:val="32"/>
          <w:szCs w:val="32"/>
        </w:rPr>
        <w:t xml:space="preserve">事务。乙方有权基于正当理由，或根据专业服务需求，另行指派其他律师参与服务。  </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甲方指派</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作为联系代表，配合乙方律师开展工作。</w:t>
      </w:r>
    </w:p>
    <w:p>
      <w:pPr>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二、聘用期限</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期限为服务合同签订之日起至委托事项终止之日止</w:t>
      </w:r>
      <w:r>
        <w:rPr>
          <w:rFonts w:hint="eastAsia" w:ascii="方正仿宋_GBK" w:hAnsi="方正仿宋_GBK" w:eastAsia="方正仿宋_GBK" w:cs="方正仿宋_GBK"/>
          <w:color w:val="171A1D"/>
          <w:sz w:val="32"/>
          <w:szCs w:val="32"/>
          <w:shd w:val="clear" w:color="auto" w:fill="FFFFFF"/>
        </w:rPr>
        <w:t>。</w:t>
      </w:r>
    </w:p>
    <w:p>
      <w:pPr>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三、乙方职责</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根据甲方要求，乙方</w:t>
      </w:r>
      <w:r>
        <w:rPr>
          <w:rFonts w:hint="eastAsia" w:ascii="Times New Roman" w:hAnsi="Times New Roman" w:eastAsia="方正仿宋_GBK" w:cs="Times New Roman"/>
          <w:sz w:val="32"/>
          <w:szCs w:val="32"/>
          <w:lang w:val="en-US" w:eastAsia="zh-CN"/>
        </w:rPr>
        <w:t>应</w:t>
      </w:r>
      <w:r>
        <w:rPr>
          <w:rFonts w:ascii="Times New Roman" w:hAnsi="Times New Roman" w:eastAsia="方正仿宋_GBK" w:cs="Times New Roman"/>
          <w:sz w:val="32"/>
          <w:szCs w:val="32"/>
        </w:rPr>
        <w:t>提供以下法律服务：</w:t>
      </w:r>
    </w:p>
    <w:p>
      <w:pPr>
        <w:spacing w:line="600" w:lineRule="exact"/>
        <w:ind w:firstLine="640" w:firstLineChars="200"/>
        <w:jc w:val="left"/>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sz w:val="32"/>
          <w:szCs w:val="32"/>
        </w:rPr>
        <w:t>案件前期准备阶段</w:t>
      </w:r>
    </w:p>
    <w:p>
      <w:pPr>
        <w:spacing w:after="0" w:line="600" w:lineRule="exact"/>
        <w:ind w:firstLine="320" w:firstLineChars="100"/>
        <w:jc w:val="left"/>
        <w:rPr>
          <w:rFonts w:hint="eastAsia" w:ascii="仿宋" w:hAnsi="仿宋" w:eastAsia="仿宋"/>
          <w:sz w:val="32"/>
          <w:szCs w:val="32"/>
        </w:rPr>
      </w:pPr>
      <w:r>
        <w:rPr>
          <w:rFonts w:hint="eastAsia" w:ascii="仿宋" w:hAnsi="仿宋" w:eastAsia="仿宋"/>
          <w:sz w:val="32"/>
          <w:szCs w:val="32"/>
          <w:lang w:val="en-US" w:eastAsia="zh-CN"/>
        </w:rPr>
        <w:t xml:space="preserve">  1.</w:t>
      </w:r>
      <w:r>
        <w:rPr>
          <w:rFonts w:ascii="仿宋" w:hAnsi="仿宋" w:eastAsia="仿宋"/>
          <w:sz w:val="32"/>
          <w:szCs w:val="32"/>
        </w:rPr>
        <w:t>梳理案件事实、审查证据材料，分析案件法律关系，评估胜诉概率、潜在风险及诉讼成本。</w:t>
      </w:r>
    </w:p>
    <w:p>
      <w:pPr>
        <w:spacing w:after="0"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根据案件情况制定针对性应诉方案，包括是否提出管辖权异议、是否反诉、证据抗辩重点等。</w:t>
      </w:r>
    </w:p>
    <w:p>
      <w:pPr>
        <w:spacing w:after="0"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协助</w:t>
      </w:r>
      <w:r>
        <w:rPr>
          <w:rFonts w:hint="eastAsia" w:ascii="仿宋" w:hAnsi="仿宋" w:eastAsia="仿宋"/>
          <w:sz w:val="32"/>
          <w:szCs w:val="32"/>
        </w:rPr>
        <w:t>公司</w:t>
      </w:r>
      <w:r>
        <w:rPr>
          <w:rFonts w:ascii="仿宋" w:hAnsi="仿宋" w:eastAsia="仿宋"/>
          <w:sz w:val="32"/>
          <w:szCs w:val="32"/>
        </w:rPr>
        <w:t>收集、整理、补充证据，</w:t>
      </w:r>
      <w:r>
        <w:rPr>
          <w:rFonts w:hint="eastAsia" w:ascii="仿宋" w:hAnsi="仿宋" w:eastAsia="仿宋"/>
          <w:sz w:val="32"/>
          <w:szCs w:val="32"/>
        </w:rPr>
        <w:t>拟定</w:t>
      </w:r>
      <w:r>
        <w:rPr>
          <w:rFonts w:ascii="仿宋" w:hAnsi="仿宋" w:eastAsia="仿宋"/>
          <w:sz w:val="32"/>
          <w:szCs w:val="32"/>
        </w:rPr>
        <w:t>《答辩状》</w:t>
      </w:r>
      <w:r>
        <w:rPr>
          <w:rFonts w:hint="eastAsia" w:ascii="仿宋" w:hAnsi="仿宋" w:eastAsia="仿宋"/>
          <w:sz w:val="32"/>
          <w:szCs w:val="32"/>
        </w:rPr>
        <w:t>、</w:t>
      </w:r>
      <w:r>
        <w:rPr>
          <w:rFonts w:ascii="仿宋" w:hAnsi="仿宋" w:eastAsia="仿宋"/>
          <w:sz w:val="32"/>
          <w:szCs w:val="32"/>
        </w:rPr>
        <w:t>《证据清单》等应诉文书。</w:t>
      </w:r>
    </w:p>
    <w:p>
      <w:pPr>
        <w:spacing w:after="0" w:line="600" w:lineRule="exact"/>
        <w:ind w:firstLine="640" w:firstLineChars="200"/>
        <w:jc w:val="left"/>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二）</w:t>
      </w:r>
      <w:r>
        <w:rPr>
          <w:rFonts w:hint="eastAsia" w:ascii="方正楷体_GBK" w:hAnsi="方正楷体_GBK" w:eastAsia="方正楷体_GBK" w:cs="方正楷体_GBK"/>
          <w:b w:val="0"/>
          <w:bCs w:val="0"/>
          <w:sz w:val="32"/>
          <w:szCs w:val="32"/>
        </w:rPr>
        <w:t>诉讼程序代理阶段</w:t>
      </w:r>
    </w:p>
    <w:p>
      <w:pPr>
        <w:spacing w:after="0" w:line="600" w:lineRule="exact"/>
        <w:ind w:firstLine="320" w:firstLineChars="100"/>
        <w:jc w:val="left"/>
        <w:rPr>
          <w:rFonts w:hint="eastAsia" w:ascii="仿宋" w:hAnsi="仿宋" w:eastAsia="仿宋"/>
          <w:sz w:val="32"/>
          <w:szCs w:val="32"/>
        </w:rPr>
      </w:pPr>
      <w:r>
        <w:rPr>
          <w:rFonts w:hint="eastAsia" w:ascii="仿宋" w:hAnsi="仿宋" w:eastAsia="仿宋"/>
          <w:sz w:val="32"/>
          <w:szCs w:val="32"/>
          <w:lang w:val="en-US" w:eastAsia="zh-CN"/>
        </w:rPr>
        <w:t xml:space="preserve">  1.</w:t>
      </w:r>
      <w:r>
        <w:rPr>
          <w:rFonts w:ascii="仿宋" w:hAnsi="仿宋" w:eastAsia="仿宋"/>
          <w:sz w:val="32"/>
          <w:szCs w:val="32"/>
        </w:rPr>
        <w:t>代为向法院提交应诉材料、领取法律文书，按时参加庭审、调解、质证等诉讼活动。</w:t>
      </w:r>
    </w:p>
    <w:p>
      <w:pPr>
        <w:spacing w:after="0" w:line="600" w:lineRule="exact"/>
        <w:ind w:firstLine="320" w:firstLineChars="100"/>
        <w:jc w:val="left"/>
        <w:rPr>
          <w:rFonts w:hint="eastAsia" w:ascii="仿宋" w:hAnsi="仿宋" w:eastAsia="仿宋"/>
          <w:sz w:val="32"/>
          <w:szCs w:val="32"/>
        </w:rPr>
      </w:pPr>
      <w:r>
        <w:rPr>
          <w:rFonts w:hint="eastAsia" w:ascii="仿宋" w:hAnsi="仿宋" w:eastAsia="仿宋"/>
          <w:sz w:val="32"/>
          <w:szCs w:val="32"/>
          <w:lang w:val="en-US" w:eastAsia="zh-CN"/>
        </w:rPr>
        <w:t xml:space="preserve">  2.</w:t>
      </w:r>
      <w:r>
        <w:rPr>
          <w:rFonts w:ascii="仿宋" w:hAnsi="仿宋" w:eastAsia="仿宋"/>
          <w:sz w:val="32"/>
          <w:szCs w:val="32"/>
        </w:rPr>
        <w:t>庭审中代为陈述事实、举证质证、发表辩论意见，针对对方诉求及证据进行专业反驳，维护</w:t>
      </w:r>
      <w:r>
        <w:rPr>
          <w:rFonts w:hint="eastAsia" w:ascii="仿宋" w:hAnsi="仿宋" w:eastAsia="仿宋"/>
          <w:sz w:val="32"/>
          <w:szCs w:val="32"/>
        </w:rPr>
        <w:t>公司</w:t>
      </w:r>
      <w:r>
        <w:rPr>
          <w:rFonts w:ascii="仿宋" w:hAnsi="仿宋" w:eastAsia="仿宋"/>
          <w:sz w:val="32"/>
          <w:szCs w:val="32"/>
        </w:rPr>
        <w:t>合法主张。</w:t>
      </w:r>
    </w:p>
    <w:p>
      <w:pPr>
        <w:spacing w:after="0"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监督诉讼程序合法性，及时提出回避申请、延期审理等程序主张，保障</w:t>
      </w:r>
      <w:r>
        <w:rPr>
          <w:rFonts w:hint="eastAsia" w:ascii="仿宋" w:hAnsi="仿宋" w:eastAsia="仿宋"/>
          <w:sz w:val="32"/>
          <w:szCs w:val="32"/>
        </w:rPr>
        <w:t>公司</w:t>
      </w:r>
      <w:r>
        <w:rPr>
          <w:rFonts w:ascii="仿宋" w:hAnsi="仿宋" w:eastAsia="仿宋"/>
          <w:sz w:val="32"/>
          <w:szCs w:val="32"/>
        </w:rPr>
        <w:t>诉讼权利。</w:t>
      </w:r>
    </w:p>
    <w:p>
      <w:pPr>
        <w:spacing w:after="0" w:line="600" w:lineRule="exact"/>
        <w:ind w:firstLine="321" w:firstLineChars="100"/>
        <w:jc w:val="left"/>
        <w:rPr>
          <w:rFonts w:hint="eastAsia" w:ascii="方正仿宋_GBK" w:hAnsi="方正仿宋_GBK" w:eastAsia="方正仿宋_GBK" w:cs="方正仿宋_GBK"/>
          <w:b/>
          <w:bCs/>
          <w:sz w:val="32"/>
          <w:szCs w:val="32"/>
        </w:rPr>
      </w:pPr>
      <w:r>
        <w:rPr>
          <w:rFonts w:ascii="方正仿宋_GBK" w:hAnsi="方正仿宋_GBK" w:eastAsia="方正仿宋_GBK" w:cs="方正仿宋_GBK"/>
          <w:b/>
          <w:bCs/>
          <w:sz w:val="32"/>
          <w:szCs w:val="32"/>
        </w:rPr>
        <w:t xml:space="preserve"> </w:t>
      </w:r>
      <w:r>
        <w:rPr>
          <w:rFonts w:hint="eastAsia" w:ascii="方正仿宋_GBK" w:hAnsi="方正仿宋_GBK" w:eastAsia="方正仿宋_GBK" w:cs="方正仿宋_GBK"/>
          <w:b/>
          <w:bCs/>
          <w:sz w:val="32"/>
          <w:szCs w:val="32"/>
          <w:lang w:val="en-US" w:eastAsia="zh-CN"/>
        </w:rPr>
        <w:t xml:space="preserve"> （三）</w:t>
      </w:r>
      <w:r>
        <w:rPr>
          <w:rFonts w:ascii="方正仿宋_GBK" w:hAnsi="方正仿宋_GBK" w:eastAsia="方正仿宋_GBK" w:cs="方正仿宋_GBK"/>
          <w:b/>
          <w:bCs/>
          <w:sz w:val="32"/>
          <w:szCs w:val="32"/>
        </w:rPr>
        <w:t>案件后续跟进阶段</w:t>
      </w:r>
    </w:p>
    <w:p>
      <w:pPr>
        <w:spacing w:after="0"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收到判决书</w:t>
      </w:r>
      <w:r>
        <w:rPr>
          <w:rFonts w:hint="eastAsia" w:ascii="仿宋" w:hAnsi="仿宋" w:eastAsia="仿宋"/>
          <w:sz w:val="32"/>
          <w:szCs w:val="32"/>
        </w:rPr>
        <w:t>、</w:t>
      </w:r>
      <w:r>
        <w:rPr>
          <w:rFonts w:ascii="仿宋" w:hAnsi="仿宋" w:eastAsia="仿宋"/>
          <w:sz w:val="32"/>
          <w:szCs w:val="32"/>
        </w:rPr>
        <w:t>裁定书后，为</w:t>
      </w:r>
      <w:r>
        <w:rPr>
          <w:rFonts w:hint="eastAsia" w:ascii="仿宋" w:hAnsi="仿宋" w:eastAsia="仿宋"/>
          <w:sz w:val="32"/>
          <w:szCs w:val="32"/>
        </w:rPr>
        <w:t>公司</w:t>
      </w:r>
      <w:r>
        <w:rPr>
          <w:rFonts w:ascii="仿宋" w:hAnsi="仿宋" w:eastAsia="仿宋"/>
          <w:sz w:val="32"/>
          <w:szCs w:val="32"/>
        </w:rPr>
        <w:t>解读裁判内容，分析结果合理性，评估是否需要上诉、再审。</w:t>
      </w:r>
    </w:p>
    <w:p>
      <w:pPr>
        <w:spacing w:after="0"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若</w:t>
      </w:r>
      <w:r>
        <w:rPr>
          <w:rFonts w:hint="eastAsia" w:ascii="仿宋" w:hAnsi="仿宋" w:eastAsia="仿宋"/>
          <w:sz w:val="32"/>
          <w:szCs w:val="32"/>
        </w:rPr>
        <w:t>公司</w:t>
      </w:r>
      <w:r>
        <w:rPr>
          <w:rFonts w:ascii="仿宋" w:hAnsi="仿宋" w:eastAsia="仿宋"/>
          <w:sz w:val="32"/>
          <w:szCs w:val="32"/>
        </w:rPr>
        <w:t>不服裁判，协助准备上诉状、再审申请书及相关材料，代理上诉、再审程序。</w:t>
      </w:r>
    </w:p>
    <w:p>
      <w:pPr>
        <w:numPr>
          <w:ilvl w:val="-1"/>
          <w:numId w:val="0"/>
        </w:numPr>
        <w:spacing w:after="0"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若案件进入执行程序，协助</w:t>
      </w:r>
      <w:r>
        <w:rPr>
          <w:rFonts w:hint="eastAsia" w:ascii="仿宋" w:hAnsi="仿宋" w:eastAsia="仿宋"/>
          <w:sz w:val="32"/>
          <w:szCs w:val="32"/>
        </w:rPr>
        <w:t>公司</w:t>
      </w:r>
      <w:r>
        <w:rPr>
          <w:rFonts w:ascii="仿宋" w:hAnsi="仿宋" w:eastAsia="仿宋"/>
          <w:sz w:val="32"/>
          <w:szCs w:val="32"/>
        </w:rPr>
        <w:t>处理执行异议、执行和解等事宜，或监督对方执行义务的履行。</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四、甲方的权利义务</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（一）对委托法律事务享有监督权、决策权；</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（二）对乙方代理工作进展享有知悉权；</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对乙方在服务过程中能力不足或行为不当向乙方进行投诉；</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有权书面通知乙方更换承办律师；</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）根据乙方工作需要，配合乙方查阅与</w:t>
      </w:r>
      <w:r>
        <w:rPr>
          <w:rFonts w:hint="eastAsia" w:ascii="Times New Roman" w:hAnsi="Times New Roman" w:eastAsia="方正仿宋_GBK" w:cs="Times New Roman"/>
          <w:sz w:val="32"/>
          <w:szCs w:val="32"/>
        </w:rPr>
        <w:t>专项法律</w:t>
      </w:r>
      <w:r>
        <w:rPr>
          <w:rFonts w:ascii="Times New Roman" w:hAnsi="Times New Roman" w:eastAsia="方正仿宋_GBK" w:cs="Times New Roman"/>
          <w:sz w:val="32"/>
          <w:szCs w:val="32"/>
        </w:rPr>
        <w:t>服务有关的制度及资料；</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）甲方要求乙方履行</w:t>
      </w:r>
      <w:bookmarkStart w:id="12" w:name="OLE_LINK20"/>
      <w:r>
        <w:rPr>
          <w:rFonts w:hint="eastAsia" w:ascii="Times New Roman" w:hAnsi="Times New Roman" w:eastAsia="方正仿宋_GBK" w:cs="Times New Roman"/>
          <w:sz w:val="32"/>
          <w:szCs w:val="32"/>
        </w:rPr>
        <w:t>专项法律服务</w:t>
      </w:r>
      <w:bookmarkEnd w:id="12"/>
      <w:r>
        <w:rPr>
          <w:rFonts w:ascii="Times New Roman" w:hAnsi="Times New Roman" w:eastAsia="方正仿宋_GBK" w:cs="Times New Roman"/>
          <w:sz w:val="32"/>
          <w:szCs w:val="32"/>
        </w:rPr>
        <w:t>职责的，应尽可能事前提供必备的文件资料，并给予乙方必要的准备时间；</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七</w:t>
      </w:r>
      <w:r>
        <w:rPr>
          <w:rFonts w:ascii="Times New Roman" w:hAnsi="Times New Roman" w:eastAsia="方正仿宋_GBK" w:cs="Times New Roman"/>
          <w:sz w:val="32"/>
          <w:szCs w:val="32"/>
        </w:rPr>
        <w:t>）提供乙方履行某项</w:t>
      </w:r>
      <w:r>
        <w:rPr>
          <w:rFonts w:hint="eastAsia" w:ascii="Times New Roman" w:hAnsi="Times New Roman" w:eastAsia="方正仿宋_GBK" w:cs="Times New Roman"/>
          <w:sz w:val="32"/>
          <w:szCs w:val="32"/>
        </w:rPr>
        <w:t>专项法律服务</w:t>
      </w:r>
      <w:r>
        <w:rPr>
          <w:rFonts w:ascii="Times New Roman" w:hAnsi="Times New Roman" w:eastAsia="方正仿宋_GBK" w:cs="Times New Roman"/>
          <w:sz w:val="32"/>
          <w:szCs w:val="32"/>
        </w:rPr>
        <w:t>职责的便利，包括提供详尽的相关案情报告、证据线索和必要的物质条件；</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）配合乙方对承办律师服务品质进行考核及监督，及时审查并寄回律师的工作清单或服务质量反馈表；</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九</w:t>
      </w:r>
      <w:r>
        <w:rPr>
          <w:rFonts w:ascii="Times New Roman" w:hAnsi="Times New Roman" w:eastAsia="方正仿宋_GBK" w:cs="Times New Roman"/>
          <w:sz w:val="32"/>
          <w:szCs w:val="32"/>
        </w:rPr>
        <w:t>）尊重乙方对相关法律问题独立发表或出具法律意见。</w:t>
      </w:r>
    </w:p>
    <w:p>
      <w:pPr>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五、乙方的权利义务</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（一）有权根据本合同第</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条的约定获取相应报酬；</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）根据甲方某一</w:t>
      </w:r>
      <w:r>
        <w:rPr>
          <w:rFonts w:hint="eastAsia" w:ascii="Times New Roman" w:hAnsi="Times New Roman" w:eastAsia="方正仿宋_GBK" w:cs="Times New Roman"/>
          <w:sz w:val="32"/>
          <w:szCs w:val="32"/>
        </w:rPr>
        <w:t>法律</w:t>
      </w:r>
      <w:r>
        <w:rPr>
          <w:rFonts w:ascii="Times New Roman" w:hAnsi="Times New Roman" w:eastAsia="方正仿宋_GBK" w:cs="Times New Roman"/>
          <w:sz w:val="32"/>
          <w:szCs w:val="32"/>
        </w:rPr>
        <w:t>事务的专业需要调整服务律师，以及独立发表法律意见的权利；</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）配合甲方通过电邮、电话、预约面谈等适当的方式，为甲方提供服务，满足甲方日常法律需求</w:t>
      </w:r>
      <w:r>
        <w:rPr>
          <w:rFonts w:hint="eastAsia" w:ascii="Times New Roman" w:hAnsi="Times New Roman" w:eastAsia="方正仿宋_GBK" w:cs="Times New Roman"/>
          <w:sz w:val="32"/>
          <w:szCs w:val="32"/>
        </w:rPr>
        <w:t>；</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）乙方应恪尽职守，不谋取私利。在同一法律事务中，未经甲方同意，不得接受甲方对方当事人的委托，损害甲方合法权益；</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乙方必须严格遵守职业道德执业纪律，不得泄露甲方的技术秘密、商业秘密或者个人隐私；</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合理行使代理权限，不越权或滥用代理权限，损害甲方利益。</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七</w:t>
      </w:r>
      <w:r>
        <w:rPr>
          <w:rFonts w:ascii="Times New Roman" w:hAnsi="Times New Roman" w:eastAsia="方正仿宋_GBK" w:cs="Times New Roman"/>
          <w:sz w:val="32"/>
          <w:szCs w:val="32"/>
        </w:rPr>
        <w:t>）甲方需要</w:t>
      </w:r>
      <w:r>
        <w:rPr>
          <w:rFonts w:hint="eastAsia" w:ascii="Times New Roman" w:hAnsi="Times New Roman" w:eastAsia="方正仿宋_GBK" w:cs="Times New Roman"/>
          <w:sz w:val="32"/>
          <w:szCs w:val="32"/>
        </w:rPr>
        <w:t>咨询的常规法律事务，乙方须在6工作小时内予以反馈，</w:t>
      </w:r>
      <w:r>
        <w:rPr>
          <w:rFonts w:ascii="Times New Roman" w:hAnsi="Times New Roman" w:eastAsia="方正仿宋_GBK" w:cs="Times New Roman"/>
          <w:sz w:val="32"/>
          <w:szCs w:val="32"/>
        </w:rPr>
        <w:t>合同</w:t>
      </w:r>
      <w:r>
        <w:rPr>
          <w:rFonts w:hint="eastAsia" w:ascii="Times New Roman" w:hAnsi="Times New Roman" w:eastAsia="方正仿宋_GBK" w:cs="Times New Roman"/>
          <w:sz w:val="32"/>
          <w:szCs w:val="32"/>
        </w:rPr>
        <w:t>拟定</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须</w:t>
      </w:r>
      <w:r>
        <w:rPr>
          <w:rFonts w:ascii="Times New Roman" w:hAnsi="Times New Roman" w:eastAsia="方正仿宋_GBK" w:cs="Times New Roman"/>
          <w:sz w:val="32"/>
          <w:szCs w:val="32"/>
        </w:rPr>
        <w:t>在</w:t>
      </w:r>
      <w:r>
        <w:rPr>
          <w:rFonts w:hint="eastAsia" w:ascii="Times New Roman" w:hAnsi="Times New Roman" w:eastAsia="方正仿宋_GBK" w:cs="Times New Roman"/>
          <w:sz w:val="32"/>
          <w:szCs w:val="32"/>
        </w:rPr>
        <w:t>2个工作日内完成，如遇紧急事项乙方须在当日内完成</w:t>
      </w:r>
      <w:r>
        <w:rPr>
          <w:rFonts w:ascii="Times New Roman" w:hAnsi="Times New Roman" w:eastAsia="方正仿宋_GBK" w:cs="Times New Roman"/>
          <w:sz w:val="32"/>
          <w:szCs w:val="32"/>
        </w:rPr>
        <w:t>。</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）本合同签订后2周内，乙方应到甲方办公场所进行法律风险调查，对调查诊断结果制定相应措施，予以完善优化。</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六、律师费和其他费用的约定</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依照《律师法》及《</w:t>
      </w:r>
      <w:r>
        <w:rPr>
          <w:rFonts w:hint="eastAsia" w:ascii="Times New Roman" w:hAnsi="Times New Roman" w:eastAsia="方正仿宋_GBK" w:cs="Times New Roman"/>
          <w:sz w:val="32"/>
          <w:szCs w:val="32"/>
        </w:rPr>
        <w:t>重庆市服务收费指导标准</w:t>
      </w:r>
      <w:r>
        <w:rPr>
          <w:rFonts w:ascii="Times New Roman" w:hAnsi="Times New Roman" w:eastAsia="方正仿宋_GBK" w:cs="Times New Roman"/>
          <w:sz w:val="32"/>
          <w:szCs w:val="32"/>
        </w:rPr>
        <w:t>》的相关规定，双方</w:t>
      </w:r>
      <w:r>
        <w:rPr>
          <w:rFonts w:hint="eastAsia" w:ascii="Times New Roman" w:hAnsi="Times New Roman" w:eastAsia="方正仿宋_GBK" w:cs="Times New Roman"/>
          <w:sz w:val="32"/>
          <w:szCs w:val="32"/>
        </w:rPr>
        <w:t>就费用收取约定如下：</w:t>
      </w:r>
    </w:p>
    <w:p>
      <w:pPr>
        <w:numPr>
          <w:ilvl w:val="-1"/>
          <w:numId w:val="0"/>
        </w:num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基础律师服务费</w:t>
      </w:r>
    </w:p>
    <w:p>
      <w:pPr>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1.基础律师服务费共计</w:t>
      </w:r>
      <w:r>
        <w:rPr>
          <w:rFonts w:ascii="Times New Roman" w:hAnsi="Times New Roman" w:eastAsia="方正仿宋_GBK" w:cs="Times New Roman"/>
          <w:sz w:val="32"/>
          <w:szCs w:val="32"/>
        </w:rPr>
        <w:t>￥</w:t>
      </w:r>
      <w:r>
        <w:rPr>
          <w:rFonts w:hint="eastAsia" w:eastAsia="方正仿宋_GBK" w:cs="Times New Roman"/>
          <w:sz w:val="32"/>
          <w:szCs w:val="32"/>
        </w:rPr>
        <w:t xml:space="preserve">    </w:t>
      </w:r>
      <w:r>
        <w:rPr>
          <w:rFonts w:ascii="Times New Roman" w:hAnsi="Times New Roman" w:eastAsia="方正仿宋_GBK" w:cs="Times New Roman"/>
          <w:sz w:val="32"/>
          <w:szCs w:val="32"/>
        </w:rPr>
        <w:t xml:space="preserve">元（大写： </w:t>
      </w:r>
      <w:r>
        <w:rPr>
          <w:rFonts w:hint="eastAsia" w:eastAsia="方正仿宋_GBK" w:cs="Times New Roman"/>
          <w:sz w:val="32"/>
          <w:szCs w:val="32"/>
        </w:rPr>
        <w:t xml:space="preserve">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，由甲方分两次支付给乙方</w:t>
      </w:r>
      <w:r>
        <w:rPr>
          <w:rFonts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第一期于服务合同签署之日起五日内支付</w:t>
      </w:r>
      <w:r>
        <w:rPr>
          <w:rFonts w:hint="eastAsia" w:ascii="Times New Roman" w:hAnsi="Times New Roman" w:eastAsia="方正仿宋_GBK" w:cs="Times New Roman"/>
          <w:sz w:val="32"/>
          <w:szCs w:val="32"/>
        </w:rPr>
        <w:t>50%的基础律师服务费</w:t>
      </w:r>
      <w:r>
        <w:rPr>
          <w:rFonts w:hint="eastAsia" w:ascii="方正仿宋_GBK" w:hAnsi="方正仿宋_GBK" w:eastAsia="方正仿宋_GBK" w:cs="方正仿宋_GBK"/>
          <w:sz w:val="32"/>
          <w:szCs w:val="32"/>
        </w:rPr>
        <w:t>，第二期于案件一审开庭前五日支付剩余</w:t>
      </w:r>
      <w:r>
        <w:rPr>
          <w:rFonts w:hint="eastAsia" w:ascii="Times New Roman" w:hAnsi="Times New Roman" w:eastAsia="方正仿宋_GBK" w:cs="Times New Roman"/>
          <w:sz w:val="32"/>
          <w:szCs w:val="32"/>
        </w:rPr>
        <w:t>50%。</w:t>
      </w:r>
      <w:r>
        <w:rPr>
          <w:rFonts w:ascii="Times New Roman" w:hAnsi="Times New Roman" w:eastAsia="方正仿宋_GBK" w:cs="Times New Roman"/>
          <w:sz w:val="32"/>
          <w:szCs w:val="32"/>
        </w:rPr>
        <w:t>乙方应向甲方开具服务名称为“法律服务费”的增值税专用发票。</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2.风险代理服务费：</w:t>
      </w:r>
      <w:r>
        <w:rPr>
          <w:rFonts w:hint="eastAsia" w:ascii="方正仿宋_GBK" w:hAnsi="方正仿宋_GBK" w:eastAsia="方正仿宋_GBK" w:cs="方正仿宋_GBK"/>
          <w:sz w:val="32"/>
          <w:szCs w:val="32"/>
        </w:rPr>
        <w:t>按照减损金额比例计提。</w:t>
      </w:r>
      <w:r>
        <w:rPr>
          <w:rFonts w:hint="eastAsia" w:ascii="Times New Roman" w:hAnsi="Times New Roman" w:eastAsia="方正仿宋_GBK" w:cs="Times New Roman"/>
          <w:sz w:val="32"/>
          <w:szCs w:val="32"/>
        </w:rPr>
        <w:t>本合同履行过程中，若因甲方法律顾问使用规则发生变化的，则本合同可提前终止，法律服务费用按月结算</w:t>
      </w:r>
      <w:r>
        <w:rPr>
          <w:rFonts w:ascii="Times New Roman" w:hAnsi="Times New Roman" w:eastAsia="方正仿宋_GBK" w:cs="Times New Roman"/>
          <w:sz w:val="32"/>
          <w:szCs w:val="32"/>
        </w:rPr>
        <w:t>。</w:t>
      </w:r>
    </w:p>
    <w:p>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（二）差率费等包干杂费</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1.在重庆市中心城区（指渝中区、江北区、沙坪坝区、南岸区、九龙坡区、大渡口区、渝北区、巴南区、北碚区）办理甲方委托的法律事务，不另行收费。</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2.承办律师如因甲方委托工作需到重庆市中心城区以外出差的，差旅、误餐等费用由甲方另行支付。</w:t>
      </w:r>
    </w:p>
    <w:p>
      <w:pPr>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（三）其他第三方费用</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乙方为承办甲方法律事务实际支出的各项合理费用（如</w:t>
      </w:r>
      <w:r>
        <w:rPr>
          <w:rFonts w:hint="eastAsia" w:ascii="Times New Roman" w:hAnsi="Times New Roman" w:eastAsia="方正仿宋_GBK" w:cs="Times New Roman"/>
          <w:sz w:val="32"/>
          <w:szCs w:val="32"/>
        </w:rPr>
        <w:t>鉴定费、评估费、</w:t>
      </w:r>
      <w:r>
        <w:rPr>
          <w:rFonts w:ascii="Times New Roman" w:hAnsi="Times New Roman" w:eastAsia="方正仿宋_GBK" w:cs="Times New Roman"/>
          <w:sz w:val="32"/>
          <w:szCs w:val="32"/>
        </w:rPr>
        <w:t>查档费、</w:t>
      </w:r>
      <w:r>
        <w:rPr>
          <w:rFonts w:hint="eastAsia" w:ascii="Times New Roman" w:hAnsi="Times New Roman" w:eastAsia="方正仿宋_GBK" w:cs="Times New Roman"/>
          <w:sz w:val="32"/>
          <w:szCs w:val="32"/>
        </w:rPr>
        <w:t>公证费、公告费、</w:t>
      </w:r>
      <w:r>
        <w:rPr>
          <w:rFonts w:ascii="Times New Roman" w:hAnsi="Times New Roman" w:eastAsia="方正仿宋_GBK" w:cs="Times New Roman"/>
          <w:sz w:val="32"/>
          <w:szCs w:val="32"/>
        </w:rPr>
        <w:t>邮费</w:t>
      </w:r>
      <w:r>
        <w:rPr>
          <w:rFonts w:hint="eastAsia" w:ascii="Times New Roman" w:hAnsi="Times New Roman" w:eastAsia="方正仿宋_GBK" w:cs="Times New Roman"/>
          <w:sz w:val="32"/>
          <w:szCs w:val="32"/>
        </w:rPr>
        <w:t>、专家论证会费</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第三方收取费用</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不属于顾问律师服务费，</w:t>
      </w:r>
      <w:r>
        <w:rPr>
          <w:rFonts w:ascii="Times New Roman" w:hAnsi="Times New Roman" w:eastAsia="方正仿宋_GBK" w:cs="Times New Roman"/>
          <w:sz w:val="32"/>
          <w:szCs w:val="32"/>
        </w:rPr>
        <w:t>由甲方</w:t>
      </w:r>
      <w:r>
        <w:rPr>
          <w:rFonts w:hint="eastAsia" w:ascii="Times New Roman" w:hAnsi="Times New Roman" w:eastAsia="方正仿宋_GBK" w:cs="Times New Roman"/>
          <w:sz w:val="32"/>
          <w:szCs w:val="32"/>
        </w:rPr>
        <w:t>按照工作需求及时支付。</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七、保密义务</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双方同意，本合同的全部内容及本合同履行过程中所形成的双方文件均为各自的商业秘密，任何一方均应只限于与本合同履行相关。</w:t>
      </w:r>
    </w:p>
    <w:p>
      <w:pPr>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八、违约责任</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聘期内，</w:t>
      </w:r>
      <w:r>
        <w:rPr>
          <w:rFonts w:hint="eastAsia" w:ascii="Times New Roman" w:hAnsi="Times New Roman" w:eastAsia="方正仿宋_GBK" w:cs="Times New Roman"/>
          <w:sz w:val="32"/>
          <w:szCs w:val="32"/>
        </w:rPr>
        <w:t>任何一方不得无故提前解除合同。</w:t>
      </w:r>
      <w:r>
        <w:rPr>
          <w:rFonts w:ascii="Times New Roman" w:hAnsi="Times New Roman" w:eastAsia="方正仿宋_GBK" w:cs="Times New Roman"/>
          <w:sz w:val="32"/>
          <w:szCs w:val="32"/>
        </w:rPr>
        <w:t>若甲方单方解除（终止）合同，已支付给乙方的顾问费不予退还，未交足的应予补足；若乙方单方解除合同，已收取顾问</w:t>
      </w:r>
      <w:r>
        <w:rPr>
          <w:rFonts w:hint="eastAsia" w:ascii="Times New Roman" w:hAnsi="Times New Roman" w:eastAsia="方正仿宋_GBK" w:cs="Times New Roman"/>
          <w:sz w:val="32"/>
          <w:szCs w:val="32"/>
        </w:rPr>
        <w:t>律师</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全额</w:t>
      </w:r>
      <w:r>
        <w:rPr>
          <w:rFonts w:ascii="Times New Roman" w:hAnsi="Times New Roman" w:eastAsia="方正仿宋_GBK" w:cs="Times New Roman"/>
          <w:sz w:val="32"/>
          <w:szCs w:val="32"/>
        </w:rPr>
        <w:t>退还甲方。</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（二）合同有效期内，若因乙方严重违反职业道德规范或者有关法律法规导致甲方损失，乙方在过错责任范围内赔偿甲方因此所受到的直接损失</w:t>
      </w:r>
      <w:r>
        <w:rPr>
          <w:rFonts w:ascii="Times New Roman" w:hAnsi="Times New Roman" w:eastAsia="方正仿宋_GBK" w:cs="Times New Roman"/>
          <w:sz w:val="32"/>
          <w:szCs w:val="32"/>
        </w:rPr>
        <w:t>。</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九、送达条款</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合同下任何一方向对方发出的通知、信件、数据电文等，应当发送至本合同约定的地址、联系人和通信终端。一方变更名称、地址、联系人或通信终端的，应当在变更后7日内及时通知对方，对方实际收到变更通知前的送达仍为有效送达，电子送达与书面送达具有同等法律效力。通知视为有效送达的日期按以下方法确定：</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（一）专人递交的通知，在专人递交之日视为有效送达；</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（二）以挂号信(预付邮资)发出的通知，在寄出日(以邮戳为凭)后的第五日视为有效送达；</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（三）以快递发送的通知，在发送日(以快递公司出具的收据为凭)视为有效送达；</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发出的短信/传真/微信/电子邮件，自前述电子文件内容在发送方正确填写地址且未被系统退回的情况下，视为进入对方数据电文接收系统即视为送达。若送达日为非工作日，则视为在下一工作日送达</w:t>
      </w:r>
      <w:r>
        <w:rPr>
          <w:rFonts w:ascii="Times New Roman" w:hAnsi="Times New Roman" w:eastAsia="方正仿宋_GBK" w:cs="Times New Roman"/>
          <w:sz w:val="32"/>
          <w:szCs w:val="32"/>
        </w:rPr>
        <w:t>。</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本合同约定的地址、联系人及电子通信终端亦为双方工作联系往来、法律文书及争议解决时人民法院和/或仲裁机构的法律文书送达地址，人民法院和/或仲裁机构的诉讼文书（含裁判文书）向合同任何一方的上述地址送达的，视为有效送达。当事人对电子通信终端的联系送达适用于争议解决时的送达。</w:t>
      </w:r>
    </w:p>
    <w:p>
      <w:pPr>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十、争议解决</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在合同履行过程中发生争议，双方协商解决。协商不成的，可向合同签订地九龙坡区，即九龙坡区人民法院提起诉讼。</w:t>
      </w:r>
    </w:p>
    <w:p>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十一、其他</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本合同未尽事宜，双方可另行协商并达成书面补充协议，补充协议与本合同具有同等法律效力。</w:t>
      </w:r>
    </w:p>
    <w:p>
      <w:pPr>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十二、合同生效</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本合同一式两份，经双方签字或盖章生效。甲乙双方各执一份，具有同等法律效力。</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tbl>
      <w:tblPr>
        <w:tblStyle w:val="12"/>
        <w:tblpPr w:leftFromText="180" w:rightFromText="180" w:vertAnchor="text" w:horzAnchor="page" w:tblpX="1195" w:tblpY="344"/>
        <w:tblOverlap w:val="never"/>
        <w:tblW w:w="9000" w:type="dxa"/>
        <w:tblInd w:w="0" w:type="dxa"/>
        <w:tblLayout w:type="fixed"/>
        <w:tblCellMar>
          <w:top w:w="0" w:type="dxa"/>
          <w:left w:w="108" w:type="dxa"/>
          <w:bottom w:w="0" w:type="dxa"/>
          <w:right w:w="108" w:type="dxa"/>
        </w:tblCellMar>
      </w:tblPr>
      <w:tblGrid>
        <w:gridCol w:w="4680"/>
        <w:gridCol w:w="4320"/>
      </w:tblGrid>
      <w:tr>
        <w:tblPrEx>
          <w:tblLayout w:type="fixed"/>
          <w:tblCellMar>
            <w:top w:w="0" w:type="dxa"/>
            <w:left w:w="108" w:type="dxa"/>
            <w:bottom w:w="0" w:type="dxa"/>
            <w:right w:w="108" w:type="dxa"/>
          </w:tblCellMar>
        </w:tblPrEx>
        <w:trPr>
          <w:trHeight w:val="840" w:hRule="atLeast"/>
        </w:trPr>
        <w:tc>
          <w:tcPr>
            <w:tcW w:w="4680" w:type="dxa"/>
          </w:tcPr>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以下无正文</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甲方：重庆</w:t>
            </w:r>
            <w:r>
              <w:rPr>
                <w:rFonts w:hint="eastAsia" w:ascii="Times New Roman" w:hAnsi="Times New Roman" w:eastAsia="方正仿宋_GBK" w:cs="Times New Roman"/>
                <w:sz w:val="32"/>
                <w:szCs w:val="32"/>
              </w:rPr>
              <w:t>市龙商融资担保有限责任公司</w:t>
            </w:r>
          </w:p>
          <w:p>
            <w:pPr>
              <w:rPr>
                <w:rFonts w:ascii="Times New Roman" w:hAnsi="Times New Roman" w:eastAsia="方正仿宋_GBK" w:cs="Times New Roman"/>
                <w:sz w:val="32"/>
                <w:szCs w:val="32"/>
              </w:rPr>
            </w:pPr>
          </w:p>
        </w:tc>
        <w:tc>
          <w:tcPr>
            <w:tcW w:w="4320" w:type="dxa"/>
          </w:tcPr>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乙方：</w:t>
            </w:r>
          </w:p>
          <w:p>
            <w:pPr>
              <w:rPr>
                <w:rFonts w:ascii="Times New Roman" w:hAnsi="Times New Roman" w:eastAsia="方正仿宋_GBK" w:cs="Times New Roman"/>
                <w:sz w:val="32"/>
                <w:szCs w:val="32"/>
              </w:rPr>
            </w:pPr>
          </w:p>
        </w:tc>
      </w:tr>
      <w:tr>
        <w:tblPrEx>
          <w:tblLayout w:type="fixed"/>
          <w:tblCellMar>
            <w:top w:w="0" w:type="dxa"/>
            <w:left w:w="108" w:type="dxa"/>
            <w:bottom w:w="0" w:type="dxa"/>
            <w:right w:w="108" w:type="dxa"/>
          </w:tblCellMar>
        </w:tblPrEx>
        <w:trPr>
          <w:trHeight w:val="1764" w:hRule="atLeast"/>
        </w:trPr>
        <w:tc>
          <w:tcPr>
            <w:tcW w:w="4680" w:type="dxa"/>
          </w:tcPr>
          <w:p>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签约代表人：</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tc>
        <w:tc>
          <w:tcPr>
            <w:tcW w:w="4320" w:type="dxa"/>
          </w:tcPr>
          <w:p>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签约代表人：</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tc>
      </w:tr>
    </w:tbl>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签订日期：</w:t>
      </w:r>
    </w:p>
    <w:p>
      <w:pPr>
        <w:tabs>
          <w:tab w:val="left" w:pos="2633"/>
        </w:tabs>
        <w:jc w:val="left"/>
        <w:rPr>
          <w:sz w:val="32"/>
          <w:szCs w:val="32"/>
        </w:rPr>
      </w:pPr>
    </w:p>
    <w:p>
      <w:pPr>
        <w:rPr>
          <w:rFonts w:hint="eastAsia" w:ascii="方正仿宋_GBK" w:hAnsi="方正仿宋_GBK" w:eastAsia="方正仿宋_GBK" w:cs="方正仿宋_GBK"/>
          <w:sz w:val="32"/>
          <w:szCs w:val="32"/>
        </w:rPr>
      </w:pPr>
    </w:p>
    <w:p>
      <w:pPr>
        <w:spacing w:line="240" w:lineRule="auto"/>
        <w:jc w:val="left"/>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Regular">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icrosoft YaHei Bold">
    <w:altName w:val="Arial"/>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全唐诗简">
    <w:altName w:val="宋体"/>
    <w:panose1 w:val="000000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24151"/>
    </w:sdtPr>
    <w:sdtContent>
      <w:p>
        <w:pPr>
          <w:pStyle w:val="8"/>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AD"/>
    <w:rsid w:val="000077C1"/>
    <w:rsid w:val="000145A2"/>
    <w:rsid w:val="000172DA"/>
    <w:rsid w:val="00023EFA"/>
    <w:rsid w:val="00024736"/>
    <w:rsid w:val="000259C7"/>
    <w:rsid w:val="0003652B"/>
    <w:rsid w:val="00036F88"/>
    <w:rsid w:val="00041411"/>
    <w:rsid w:val="00047ADB"/>
    <w:rsid w:val="00052940"/>
    <w:rsid w:val="0005352B"/>
    <w:rsid w:val="00057BB7"/>
    <w:rsid w:val="000625FE"/>
    <w:rsid w:val="00072D72"/>
    <w:rsid w:val="00077716"/>
    <w:rsid w:val="00081791"/>
    <w:rsid w:val="0008462F"/>
    <w:rsid w:val="00095D44"/>
    <w:rsid w:val="0009611A"/>
    <w:rsid w:val="000A7250"/>
    <w:rsid w:val="000B1C8F"/>
    <w:rsid w:val="000B2D70"/>
    <w:rsid w:val="000B3FF6"/>
    <w:rsid w:val="000B5906"/>
    <w:rsid w:val="000C49DE"/>
    <w:rsid w:val="000C699C"/>
    <w:rsid w:val="000C71F4"/>
    <w:rsid w:val="000D52EC"/>
    <w:rsid w:val="000E2C26"/>
    <w:rsid w:val="000E2F28"/>
    <w:rsid w:val="000F183E"/>
    <w:rsid w:val="000F4F6A"/>
    <w:rsid w:val="00123F0F"/>
    <w:rsid w:val="00126D14"/>
    <w:rsid w:val="0014284C"/>
    <w:rsid w:val="001460C9"/>
    <w:rsid w:val="001467C8"/>
    <w:rsid w:val="0015108A"/>
    <w:rsid w:val="0015298D"/>
    <w:rsid w:val="00152C8C"/>
    <w:rsid w:val="00153C40"/>
    <w:rsid w:val="00163050"/>
    <w:rsid w:val="00165152"/>
    <w:rsid w:val="00166713"/>
    <w:rsid w:val="00166BAE"/>
    <w:rsid w:val="00175CDD"/>
    <w:rsid w:val="0017720A"/>
    <w:rsid w:val="001801D7"/>
    <w:rsid w:val="0018038E"/>
    <w:rsid w:val="0018247F"/>
    <w:rsid w:val="00186CBC"/>
    <w:rsid w:val="00190383"/>
    <w:rsid w:val="00191DA6"/>
    <w:rsid w:val="001E75A7"/>
    <w:rsid w:val="00203918"/>
    <w:rsid w:val="00207181"/>
    <w:rsid w:val="0020760C"/>
    <w:rsid w:val="0021289D"/>
    <w:rsid w:val="00215025"/>
    <w:rsid w:val="002201ED"/>
    <w:rsid w:val="0022150C"/>
    <w:rsid w:val="00221F53"/>
    <w:rsid w:val="00227198"/>
    <w:rsid w:val="0023347D"/>
    <w:rsid w:val="0023757E"/>
    <w:rsid w:val="002455FB"/>
    <w:rsid w:val="002562BA"/>
    <w:rsid w:val="00264535"/>
    <w:rsid w:val="00266D6A"/>
    <w:rsid w:val="00267E22"/>
    <w:rsid w:val="00275750"/>
    <w:rsid w:val="00276384"/>
    <w:rsid w:val="00287901"/>
    <w:rsid w:val="00292FD6"/>
    <w:rsid w:val="002B09D8"/>
    <w:rsid w:val="002C17DF"/>
    <w:rsid w:val="002C66B1"/>
    <w:rsid w:val="002E6B5A"/>
    <w:rsid w:val="002E6D20"/>
    <w:rsid w:val="002E76FC"/>
    <w:rsid w:val="002F0B39"/>
    <w:rsid w:val="002F198C"/>
    <w:rsid w:val="002F2B01"/>
    <w:rsid w:val="002F37C3"/>
    <w:rsid w:val="002F5202"/>
    <w:rsid w:val="002F56E6"/>
    <w:rsid w:val="002F683E"/>
    <w:rsid w:val="00300BE2"/>
    <w:rsid w:val="00301647"/>
    <w:rsid w:val="00303C73"/>
    <w:rsid w:val="003131A5"/>
    <w:rsid w:val="003251A8"/>
    <w:rsid w:val="003275A7"/>
    <w:rsid w:val="00331467"/>
    <w:rsid w:val="00334AA6"/>
    <w:rsid w:val="0033584D"/>
    <w:rsid w:val="00341BEF"/>
    <w:rsid w:val="003464F2"/>
    <w:rsid w:val="00347A0D"/>
    <w:rsid w:val="003509AB"/>
    <w:rsid w:val="00351219"/>
    <w:rsid w:val="00355B4B"/>
    <w:rsid w:val="00366AE5"/>
    <w:rsid w:val="00367721"/>
    <w:rsid w:val="003707B2"/>
    <w:rsid w:val="00370B1C"/>
    <w:rsid w:val="003764C9"/>
    <w:rsid w:val="003765EF"/>
    <w:rsid w:val="00381A6A"/>
    <w:rsid w:val="00384058"/>
    <w:rsid w:val="003A19A3"/>
    <w:rsid w:val="003A5CDD"/>
    <w:rsid w:val="003B3428"/>
    <w:rsid w:val="003B6581"/>
    <w:rsid w:val="003C08DB"/>
    <w:rsid w:val="003C100C"/>
    <w:rsid w:val="003C26F2"/>
    <w:rsid w:val="003C4AE5"/>
    <w:rsid w:val="003C5E89"/>
    <w:rsid w:val="003D0034"/>
    <w:rsid w:val="003D1286"/>
    <w:rsid w:val="003D47DE"/>
    <w:rsid w:val="003D6E31"/>
    <w:rsid w:val="003E1F03"/>
    <w:rsid w:val="003E7E0D"/>
    <w:rsid w:val="003F4639"/>
    <w:rsid w:val="003F4EAD"/>
    <w:rsid w:val="003F6CDC"/>
    <w:rsid w:val="00400542"/>
    <w:rsid w:val="00403308"/>
    <w:rsid w:val="00404D00"/>
    <w:rsid w:val="004057C1"/>
    <w:rsid w:val="00413AD2"/>
    <w:rsid w:val="0041472F"/>
    <w:rsid w:val="004203E3"/>
    <w:rsid w:val="00422743"/>
    <w:rsid w:val="004243AF"/>
    <w:rsid w:val="00424738"/>
    <w:rsid w:val="00424CA9"/>
    <w:rsid w:val="004268C2"/>
    <w:rsid w:val="00427F74"/>
    <w:rsid w:val="004322DE"/>
    <w:rsid w:val="00433A2A"/>
    <w:rsid w:val="0043722A"/>
    <w:rsid w:val="00450EEE"/>
    <w:rsid w:val="00452E85"/>
    <w:rsid w:val="00455C86"/>
    <w:rsid w:val="00461B3D"/>
    <w:rsid w:val="004623E4"/>
    <w:rsid w:val="00464BF4"/>
    <w:rsid w:val="00466956"/>
    <w:rsid w:val="00470D8E"/>
    <w:rsid w:val="0048343C"/>
    <w:rsid w:val="00484115"/>
    <w:rsid w:val="0049159D"/>
    <w:rsid w:val="00491E7E"/>
    <w:rsid w:val="00494D27"/>
    <w:rsid w:val="00495648"/>
    <w:rsid w:val="004A128B"/>
    <w:rsid w:val="004A15A4"/>
    <w:rsid w:val="004A3242"/>
    <w:rsid w:val="004A4D57"/>
    <w:rsid w:val="004A68D5"/>
    <w:rsid w:val="004A798B"/>
    <w:rsid w:val="004B24DC"/>
    <w:rsid w:val="004B3E42"/>
    <w:rsid w:val="004B73D8"/>
    <w:rsid w:val="004B7899"/>
    <w:rsid w:val="004B7E89"/>
    <w:rsid w:val="004C2458"/>
    <w:rsid w:val="004D08FF"/>
    <w:rsid w:val="004D3EE6"/>
    <w:rsid w:val="004D6BDB"/>
    <w:rsid w:val="004E07C7"/>
    <w:rsid w:val="004E0982"/>
    <w:rsid w:val="004E26E0"/>
    <w:rsid w:val="004E7FA0"/>
    <w:rsid w:val="004F146B"/>
    <w:rsid w:val="004F54D8"/>
    <w:rsid w:val="004F651B"/>
    <w:rsid w:val="00502B8C"/>
    <w:rsid w:val="005062B7"/>
    <w:rsid w:val="00506F91"/>
    <w:rsid w:val="00510339"/>
    <w:rsid w:val="00514D0C"/>
    <w:rsid w:val="005155BF"/>
    <w:rsid w:val="00516517"/>
    <w:rsid w:val="00524D32"/>
    <w:rsid w:val="00526709"/>
    <w:rsid w:val="00530030"/>
    <w:rsid w:val="0053446F"/>
    <w:rsid w:val="00536C03"/>
    <w:rsid w:val="00537BAE"/>
    <w:rsid w:val="00542798"/>
    <w:rsid w:val="005461A8"/>
    <w:rsid w:val="0055130A"/>
    <w:rsid w:val="005632B6"/>
    <w:rsid w:val="00567396"/>
    <w:rsid w:val="0057145B"/>
    <w:rsid w:val="00581641"/>
    <w:rsid w:val="005830B5"/>
    <w:rsid w:val="00584773"/>
    <w:rsid w:val="00590908"/>
    <w:rsid w:val="0059424A"/>
    <w:rsid w:val="0059477D"/>
    <w:rsid w:val="00596DE8"/>
    <w:rsid w:val="005A085A"/>
    <w:rsid w:val="005A14FC"/>
    <w:rsid w:val="005A3D5F"/>
    <w:rsid w:val="005A59D0"/>
    <w:rsid w:val="005A5DC6"/>
    <w:rsid w:val="005A6175"/>
    <w:rsid w:val="005C430B"/>
    <w:rsid w:val="005D3B56"/>
    <w:rsid w:val="005D5A2D"/>
    <w:rsid w:val="005E2758"/>
    <w:rsid w:val="005E2FEC"/>
    <w:rsid w:val="005E6F48"/>
    <w:rsid w:val="005E7807"/>
    <w:rsid w:val="005F2F1E"/>
    <w:rsid w:val="005F4F3D"/>
    <w:rsid w:val="005F7A17"/>
    <w:rsid w:val="006016E8"/>
    <w:rsid w:val="00604270"/>
    <w:rsid w:val="00606CE6"/>
    <w:rsid w:val="00607A3D"/>
    <w:rsid w:val="0061708A"/>
    <w:rsid w:val="00631134"/>
    <w:rsid w:val="0064023D"/>
    <w:rsid w:val="006507BF"/>
    <w:rsid w:val="00652784"/>
    <w:rsid w:val="00654C40"/>
    <w:rsid w:val="00667A62"/>
    <w:rsid w:val="00673F03"/>
    <w:rsid w:val="006779DA"/>
    <w:rsid w:val="006860BC"/>
    <w:rsid w:val="006930C8"/>
    <w:rsid w:val="00695FF4"/>
    <w:rsid w:val="00696C88"/>
    <w:rsid w:val="00697F51"/>
    <w:rsid w:val="006A43AF"/>
    <w:rsid w:val="006A5BBD"/>
    <w:rsid w:val="006A6151"/>
    <w:rsid w:val="006A6CE7"/>
    <w:rsid w:val="006B1907"/>
    <w:rsid w:val="006B43D8"/>
    <w:rsid w:val="006B5402"/>
    <w:rsid w:val="006C1FB0"/>
    <w:rsid w:val="006D251A"/>
    <w:rsid w:val="006E0184"/>
    <w:rsid w:val="006F3E99"/>
    <w:rsid w:val="00706184"/>
    <w:rsid w:val="00713BD3"/>
    <w:rsid w:val="00714D09"/>
    <w:rsid w:val="007154FB"/>
    <w:rsid w:val="00721060"/>
    <w:rsid w:val="00721283"/>
    <w:rsid w:val="00726EF7"/>
    <w:rsid w:val="007304E0"/>
    <w:rsid w:val="00731132"/>
    <w:rsid w:val="007355E4"/>
    <w:rsid w:val="007370C2"/>
    <w:rsid w:val="00740458"/>
    <w:rsid w:val="00740683"/>
    <w:rsid w:val="00741539"/>
    <w:rsid w:val="00752D55"/>
    <w:rsid w:val="00755814"/>
    <w:rsid w:val="007566AC"/>
    <w:rsid w:val="007664AE"/>
    <w:rsid w:val="007701B1"/>
    <w:rsid w:val="00771923"/>
    <w:rsid w:val="00774E16"/>
    <w:rsid w:val="0077542B"/>
    <w:rsid w:val="00777336"/>
    <w:rsid w:val="00783601"/>
    <w:rsid w:val="0078480D"/>
    <w:rsid w:val="00786AFB"/>
    <w:rsid w:val="007A1ADE"/>
    <w:rsid w:val="007A45E8"/>
    <w:rsid w:val="007A52ED"/>
    <w:rsid w:val="007B42E9"/>
    <w:rsid w:val="007B6974"/>
    <w:rsid w:val="007B70C2"/>
    <w:rsid w:val="007D0BB5"/>
    <w:rsid w:val="007D2ED9"/>
    <w:rsid w:val="007D527E"/>
    <w:rsid w:val="007E0002"/>
    <w:rsid w:val="007E1867"/>
    <w:rsid w:val="007E2D9F"/>
    <w:rsid w:val="007F3893"/>
    <w:rsid w:val="007F4C21"/>
    <w:rsid w:val="0080003D"/>
    <w:rsid w:val="00802F39"/>
    <w:rsid w:val="008116FA"/>
    <w:rsid w:val="00817AC6"/>
    <w:rsid w:val="008218A0"/>
    <w:rsid w:val="0082246B"/>
    <w:rsid w:val="00823FA3"/>
    <w:rsid w:val="00827D43"/>
    <w:rsid w:val="00834DB8"/>
    <w:rsid w:val="008351DA"/>
    <w:rsid w:val="00836EBA"/>
    <w:rsid w:val="008372D6"/>
    <w:rsid w:val="00840D64"/>
    <w:rsid w:val="0084536D"/>
    <w:rsid w:val="00845F0B"/>
    <w:rsid w:val="00846AD2"/>
    <w:rsid w:val="0086569C"/>
    <w:rsid w:val="008663BD"/>
    <w:rsid w:val="008669C2"/>
    <w:rsid w:val="008725CE"/>
    <w:rsid w:val="008738A2"/>
    <w:rsid w:val="008753C7"/>
    <w:rsid w:val="00877009"/>
    <w:rsid w:val="00890796"/>
    <w:rsid w:val="00891CF2"/>
    <w:rsid w:val="00895D1E"/>
    <w:rsid w:val="008A2E3B"/>
    <w:rsid w:val="008A52AC"/>
    <w:rsid w:val="008A6D77"/>
    <w:rsid w:val="008B566B"/>
    <w:rsid w:val="008C1F4E"/>
    <w:rsid w:val="008C3DC3"/>
    <w:rsid w:val="008C610B"/>
    <w:rsid w:val="008C70F1"/>
    <w:rsid w:val="008C77C6"/>
    <w:rsid w:val="008D6911"/>
    <w:rsid w:val="008E02C7"/>
    <w:rsid w:val="008E2874"/>
    <w:rsid w:val="008E76D1"/>
    <w:rsid w:val="008E7A0A"/>
    <w:rsid w:val="008E7C4C"/>
    <w:rsid w:val="008F022A"/>
    <w:rsid w:val="008F587B"/>
    <w:rsid w:val="008F5EC0"/>
    <w:rsid w:val="00910BF4"/>
    <w:rsid w:val="009130DF"/>
    <w:rsid w:val="00914180"/>
    <w:rsid w:val="00936D57"/>
    <w:rsid w:val="0093797C"/>
    <w:rsid w:val="0094602F"/>
    <w:rsid w:val="00955B58"/>
    <w:rsid w:val="0096673C"/>
    <w:rsid w:val="009710E6"/>
    <w:rsid w:val="0098082D"/>
    <w:rsid w:val="009845F4"/>
    <w:rsid w:val="00984605"/>
    <w:rsid w:val="0099745F"/>
    <w:rsid w:val="009A03EF"/>
    <w:rsid w:val="009A7F44"/>
    <w:rsid w:val="009B2CB4"/>
    <w:rsid w:val="009B40BC"/>
    <w:rsid w:val="009C486C"/>
    <w:rsid w:val="009D43C2"/>
    <w:rsid w:val="009D4792"/>
    <w:rsid w:val="009F0ABD"/>
    <w:rsid w:val="009F298C"/>
    <w:rsid w:val="009F6840"/>
    <w:rsid w:val="00A0405A"/>
    <w:rsid w:val="00A12182"/>
    <w:rsid w:val="00A12C72"/>
    <w:rsid w:val="00A1641D"/>
    <w:rsid w:val="00A16C63"/>
    <w:rsid w:val="00A1768B"/>
    <w:rsid w:val="00A22581"/>
    <w:rsid w:val="00A278CD"/>
    <w:rsid w:val="00A315E5"/>
    <w:rsid w:val="00A3423F"/>
    <w:rsid w:val="00A36C31"/>
    <w:rsid w:val="00A43380"/>
    <w:rsid w:val="00A45573"/>
    <w:rsid w:val="00A53DA2"/>
    <w:rsid w:val="00A641F7"/>
    <w:rsid w:val="00A70BEE"/>
    <w:rsid w:val="00A71893"/>
    <w:rsid w:val="00A73832"/>
    <w:rsid w:val="00A807D4"/>
    <w:rsid w:val="00A93EB0"/>
    <w:rsid w:val="00A95196"/>
    <w:rsid w:val="00AA036F"/>
    <w:rsid w:val="00AA2A74"/>
    <w:rsid w:val="00AC48FB"/>
    <w:rsid w:val="00AC64FD"/>
    <w:rsid w:val="00AE02DE"/>
    <w:rsid w:val="00AE1DE4"/>
    <w:rsid w:val="00AE2E19"/>
    <w:rsid w:val="00AE49D3"/>
    <w:rsid w:val="00AE5620"/>
    <w:rsid w:val="00AF2A05"/>
    <w:rsid w:val="00AF39AF"/>
    <w:rsid w:val="00B00A79"/>
    <w:rsid w:val="00B01B30"/>
    <w:rsid w:val="00B12DC9"/>
    <w:rsid w:val="00B1319A"/>
    <w:rsid w:val="00B15945"/>
    <w:rsid w:val="00B15D43"/>
    <w:rsid w:val="00B246AB"/>
    <w:rsid w:val="00B262B8"/>
    <w:rsid w:val="00B2662F"/>
    <w:rsid w:val="00B312F1"/>
    <w:rsid w:val="00B356EF"/>
    <w:rsid w:val="00B42408"/>
    <w:rsid w:val="00B431FA"/>
    <w:rsid w:val="00B63B0F"/>
    <w:rsid w:val="00B64DFD"/>
    <w:rsid w:val="00B66A05"/>
    <w:rsid w:val="00B72A14"/>
    <w:rsid w:val="00B74BE8"/>
    <w:rsid w:val="00B907A5"/>
    <w:rsid w:val="00B97C33"/>
    <w:rsid w:val="00B97CF9"/>
    <w:rsid w:val="00BA14E3"/>
    <w:rsid w:val="00BA749B"/>
    <w:rsid w:val="00BB58A3"/>
    <w:rsid w:val="00BD12F4"/>
    <w:rsid w:val="00BD6468"/>
    <w:rsid w:val="00BD7304"/>
    <w:rsid w:val="00BE15F9"/>
    <w:rsid w:val="00BE404C"/>
    <w:rsid w:val="00BE75E0"/>
    <w:rsid w:val="00BF3040"/>
    <w:rsid w:val="00C00AAE"/>
    <w:rsid w:val="00C028E8"/>
    <w:rsid w:val="00C04025"/>
    <w:rsid w:val="00C049C5"/>
    <w:rsid w:val="00C05A91"/>
    <w:rsid w:val="00C100CA"/>
    <w:rsid w:val="00C214D3"/>
    <w:rsid w:val="00C45291"/>
    <w:rsid w:val="00C601A1"/>
    <w:rsid w:val="00C62AFD"/>
    <w:rsid w:val="00C64C7B"/>
    <w:rsid w:val="00C66BD5"/>
    <w:rsid w:val="00C818F6"/>
    <w:rsid w:val="00C8358C"/>
    <w:rsid w:val="00C93274"/>
    <w:rsid w:val="00C961CA"/>
    <w:rsid w:val="00C970B7"/>
    <w:rsid w:val="00CA5056"/>
    <w:rsid w:val="00CB0BE7"/>
    <w:rsid w:val="00CB0C05"/>
    <w:rsid w:val="00CB1F1B"/>
    <w:rsid w:val="00CC091A"/>
    <w:rsid w:val="00CC1781"/>
    <w:rsid w:val="00CC3208"/>
    <w:rsid w:val="00CD2925"/>
    <w:rsid w:val="00CD7592"/>
    <w:rsid w:val="00CE1AD9"/>
    <w:rsid w:val="00CE3210"/>
    <w:rsid w:val="00CE32D7"/>
    <w:rsid w:val="00CF0EC3"/>
    <w:rsid w:val="00CF3DEF"/>
    <w:rsid w:val="00CF4DC3"/>
    <w:rsid w:val="00CF5243"/>
    <w:rsid w:val="00D00D3E"/>
    <w:rsid w:val="00D01210"/>
    <w:rsid w:val="00D01EE4"/>
    <w:rsid w:val="00D02F65"/>
    <w:rsid w:val="00D040F3"/>
    <w:rsid w:val="00D053DC"/>
    <w:rsid w:val="00D07BFF"/>
    <w:rsid w:val="00D1070D"/>
    <w:rsid w:val="00D10BE6"/>
    <w:rsid w:val="00D12B75"/>
    <w:rsid w:val="00D13073"/>
    <w:rsid w:val="00D14B12"/>
    <w:rsid w:val="00D251A2"/>
    <w:rsid w:val="00D31A22"/>
    <w:rsid w:val="00D36C27"/>
    <w:rsid w:val="00D413A9"/>
    <w:rsid w:val="00D421ED"/>
    <w:rsid w:val="00D434A9"/>
    <w:rsid w:val="00D43F7A"/>
    <w:rsid w:val="00D4516F"/>
    <w:rsid w:val="00D45747"/>
    <w:rsid w:val="00D45795"/>
    <w:rsid w:val="00D45F49"/>
    <w:rsid w:val="00D522DC"/>
    <w:rsid w:val="00D60471"/>
    <w:rsid w:val="00D706EB"/>
    <w:rsid w:val="00D725AE"/>
    <w:rsid w:val="00D74A01"/>
    <w:rsid w:val="00D82F53"/>
    <w:rsid w:val="00D8425F"/>
    <w:rsid w:val="00D879FE"/>
    <w:rsid w:val="00D9007E"/>
    <w:rsid w:val="00D9109E"/>
    <w:rsid w:val="00D932E7"/>
    <w:rsid w:val="00D94E18"/>
    <w:rsid w:val="00D970C6"/>
    <w:rsid w:val="00DA60DF"/>
    <w:rsid w:val="00DA67BF"/>
    <w:rsid w:val="00DA7DF4"/>
    <w:rsid w:val="00DB3109"/>
    <w:rsid w:val="00DB462C"/>
    <w:rsid w:val="00DB603D"/>
    <w:rsid w:val="00DC0E36"/>
    <w:rsid w:val="00DC1A3B"/>
    <w:rsid w:val="00DC20A2"/>
    <w:rsid w:val="00DC45B6"/>
    <w:rsid w:val="00DD3D90"/>
    <w:rsid w:val="00DD3F8A"/>
    <w:rsid w:val="00DD4118"/>
    <w:rsid w:val="00DD66A1"/>
    <w:rsid w:val="00DE564D"/>
    <w:rsid w:val="00DF03A4"/>
    <w:rsid w:val="00DF48FB"/>
    <w:rsid w:val="00DF6AB4"/>
    <w:rsid w:val="00E047A9"/>
    <w:rsid w:val="00E0736A"/>
    <w:rsid w:val="00E16470"/>
    <w:rsid w:val="00E21002"/>
    <w:rsid w:val="00E25111"/>
    <w:rsid w:val="00E3067B"/>
    <w:rsid w:val="00E31848"/>
    <w:rsid w:val="00E47CA1"/>
    <w:rsid w:val="00E5174F"/>
    <w:rsid w:val="00E51E26"/>
    <w:rsid w:val="00E553F8"/>
    <w:rsid w:val="00E57EF1"/>
    <w:rsid w:val="00E721FE"/>
    <w:rsid w:val="00E82EC3"/>
    <w:rsid w:val="00E858E3"/>
    <w:rsid w:val="00E879F0"/>
    <w:rsid w:val="00E96BF8"/>
    <w:rsid w:val="00E97966"/>
    <w:rsid w:val="00EA0A67"/>
    <w:rsid w:val="00EA12F2"/>
    <w:rsid w:val="00EA2E52"/>
    <w:rsid w:val="00EA6BCC"/>
    <w:rsid w:val="00EB0719"/>
    <w:rsid w:val="00EB3F4B"/>
    <w:rsid w:val="00EB4544"/>
    <w:rsid w:val="00EC2857"/>
    <w:rsid w:val="00EC3B6E"/>
    <w:rsid w:val="00EC4DF8"/>
    <w:rsid w:val="00EC7B19"/>
    <w:rsid w:val="00ED4F5C"/>
    <w:rsid w:val="00EE03EA"/>
    <w:rsid w:val="00EE39BD"/>
    <w:rsid w:val="00EE7A3B"/>
    <w:rsid w:val="00EE7BE1"/>
    <w:rsid w:val="00EF22C8"/>
    <w:rsid w:val="00F0032B"/>
    <w:rsid w:val="00F00D82"/>
    <w:rsid w:val="00F03F4A"/>
    <w:rsid w:val="00F13907"/>
    <w:rsid w:val="00F13C40"/>
    <w:rsid w:val="00F16A90"/>
    <w:rsid w:val="00F1790F"/>
    <w:rsid w:val="00F20BFB"/>
    <w:rsid w:val="00F22EF6"/>
    <w:rsid w:val="00F235DC"/>
    <w:rsid w:val="00F24476"/>
    <w:rsid w:val="00F274FC"/>
    <w:rsid w:val="00F313B0"/>
    <w:rsid w:val="00F349A1"/>
    <w:rsid w:val="00F35702"/>
    <w:rsid w:val="00F44350"/>
    <w:rsid w:val="00F65453"/>
    <w:rsid w:val="00F7289A"/>
    <w:rsid w:val="00F75522"/>
    <w:rsid w:val="00F768ED"/>
    <w:rsid w:val="00F77B55"/>
    <w:rsid w:val="00F83736"/>
    <w:rsid w:val="00F86B28"/>
    <w:rsid w:val="00F9139C"/>
    <w:rsid w:val="00FA66A8"/>
    <w:rsid w:val="00FB459F"/>
    <w:rsid w:val="00FB492A"/>
    <w:rsid w:val="00FB558F"/>
    <w:rsid w:val="00FB76D2"/>
    <w:rsid w:val="00FC060C"/>
    <w:rsid w:val="00FC19AA"/>
    <w:rsid w:val="00FD4CB0"/>
    <w:rsid w:val="00FE3611"/>
    <w:rsid w:val="00FE576B"/>
    <w:rsid w:val="00FE72B0"/>
    <w:rsid w:val="00FF1F2A"/>
    <w:rsid w:val="00FF2256"/>
    <w:rsid w:val="00FF4E71"/>
    <w:rsid w:val="01D944AA"/>
    <w:rsid w:val="02455ACB"/>
    <w:rsid w:val="031F3D49"/>
    <w:rsid w:val="03F760F0"/>
    <w:rsid w:val="05544318"/>
    <w:rsid w:val="05927B50"/>
    <w:rsid w:val="05F40F89"/>
    <w:rsid w:val="0757779A"/>
    <w:rsid w:val="07DE1D47"/>
    <w:rsid w:val="08DE6D8B"/>
    <w:rsid w:val="09647E2B"/>
    <w:rsid w:val="096E7C36"/>
    <w:rsid w:val="099D553B"/>
    <w:rsid w:val="09A62BF5"/>
    <w:rsid w:val="09EC794D"/>
    <w:rsid w:val="0A7A67C1"/>
    <w:rsid w:val="0ADC02FD"/>
    <w:rsid w:val="0B161DFE"/>
    <w:rsid w:val="0B6D679C"/>
    <w:rsid w:val="0B9F651F"/>
    <w:rsid w:val="0BDA6B62"/>
    <w:rsid w:val="0BF34397"/>
    <w:rsid w:val="0CD63FAF"/>
    <w:rsid w:val="0CE960EA"/>
    <w:rsid w:val="0E610645"/>
    <w:rsid w:val="0F0250D7"/>
    <w:rsid w:val="100C3DCA"/>
    <w:rsid w:val="11106CB4"/>
    <w:rsid w:val="12254AAC"/>
    <w:rsid w:val="14B27C00"/>
    <w:rsid w:val="157B6288"/>
    <w:rsid w:val="15811345"/>
    <w:rsid w:val="15C11C4A"/>
    <w:rsid w:val="161D24F4"/>
    <w:rsid w:val="17CC57F7"/>
    <w:rsid w:val="17F422EC"/>
    <w:rsid w:val="18151608"/>
    <w:rsid w:val="1852696F"/>
    <w:rsid w:val="19C36D1E"/>
    <w:rsid w:val="19CC4779"/>
    <w:rsid w:val="19E3741E"/>
    <w:rsid w:val="1A535B6D"/>
    <w:rsid w:val="1A8302FE"/>
    <w:rsid w:val="1AB96E14"/>
    <w:rsid w:val="1B5F6DFC"/>
    <w:rsid w:val="1BA710F5"/>
    <w:rsid w:val="1BB53F84"/>
    <w:rsid w:val="1BCC61C9"/>
    <w:rsid w:val="1C7E6E24"/>
    <w:rsid w:val="1D901F9A"/>
    <w:rsid w:val="1E49298E"/>
    <w:rsid w:val="1E973A71"/>
    <w:rsid w:val="1EC74AD1"/>
    <w:rsid w:val="20E421C5"/>
    <w:rsid w:val="20EB14E5"/>
    <w:rsid w:val="21327699"/>
    <w:rsid w:val="219228B5"/>
    <w:rsid w:val="21E11636"/>
    <w:rsid w:val="22AB15B0"/>
    <w:rsid w:val="23C03DBB"/>
    <w:rsid w:val="24603923"/>
    <w:rsid w:val="247747F4"/>
    <w:rsid w:val="253F35CF"/>
    <w:rsid w:val="27D104D4"/>
    <w:rsid w:val="27F87C2B"/>
    <w:rsid w:val="29AA563D"/>
    <w:rsid w:val="2AA3322D"/>
    <w:rsid w:val="2AF54F62"/>
    <w:rsid w:val="2D9C6C90"/>
    <w:rsid w:val="2E040F39"/>
    <w:rsid w:val="2E9F726C"/>
    <w:rsid w:val="2F8F4899"/>
    <w:rsid w:val="306E1922"/>
    <w:rsid w:val="30B90BD9"/>
    <w:rsid w:val="31D27D35"/>
    <w:rsid w:val="31E93394"/>
    <w:rsid w:val="32B77A07"/>
    <w:rsid w:val="33C36784"/>
    <w:rsid w:val="33DA7F7D"/>
    <w:rsid w:val="381732A6"/>
    <w:rsid w:val="38B073AF"/>
    <w:rsid w:val="39B53D35"/>
    <w:rsid w:val="39FF6498"/>
    <w:rsid w:val="3A557D39"/>
    <w:rsid w:val="3AE760FF"/>
    <w:rsid w:val="3B6008C4"/>
    <w:rsid w:val="3C305E78"/>
    <w:rsid w:val="3C83667F"/>
    <w:rsid w:val="3D0D369E"/>
    <w:rsid w:val="3F1D3B80"/>
    <w:rsid w:val="3F5F333A"/>
    <w:rsid w:val="3FCF53DF"/>
    <w:rsid w:val="40C54011"/>
    <w:rsid w:val="410A0EB3"/>
    <w:rsid w:val="41312F33"/>
    <w:rsid w:val="42331D6F"/>
    <w:rsid w:val="45F33B27"/>
    <w:rsid w:val="46723AC3"/>
    <w:rsid w:val="46CE2549"/>
    <w:rsid w:val="4739392B"/>
    <w:rsid w:val="485322BC"/>
    <w:rsid w:val="4A7B1C44"/>
    <w:rsid w:val="4C2844C3"/>
    <w:rsid w:val="4CA235BD"/>
    <w:rsid w:val="4E5A733F"/>
    <w:rsid w:val="4F907E94"/>
    <w:rsid w:val="4FFF636C"/>
    <w:rsid w:val="50137BE8"/>
    <w:rsid w:val="50F35F40"/>
    <w:rsid w:val="53CD080E"/>
    <w:rsid w:val="53FE30B1"/>
    <w:rsid w:val="546D499E"/>
    <w:rsid w:val="5553374C"/>
    <w:rsid w:val="557D51A9"/>
    <w:rsid w:val="55D40F95"/>
    <w:rsid w:val="55DD56A4"/>
    <w:rsid w:val="564A0D94"/>
    <w:rsid w:val="56955421"/>
    <w:rsid w:val="56EE27C5"/>
    <w:rsid w:val="583B7C3F"/>
    <w:rsid w:val="59FF149D"/>
    <w:rsid w:val="5A415EBF"/>
    <w:rsid w:val="5A782C46"/>
    <w:rsid w:val="5AF630F6"/>
    <w:rsid w:val="5C213B62"/>
    <w:rsid w:val="5C5B7663"/>
    <w:rsid w:val="60EB6206"/>
    <w:rsid w:val="6354248F"/>
    <w:rsid w:val="636C2216"/>
    <w:rsid w:val="639075CF"/>
    <w:rsid w:val="63AE0F34"/>
    <w:rsid w:val="64560A5B"/>
    <w:rsid w:val="64B75B0A"/>
    <w:rsid w:val="65FD3CAD"/>
    <w:rsid w:val="66F80317"/>
    <w:rsid w:val="6786297A"/>
    <w:rsid w:val="67917465"/>
    <w:rsid w:val="6794332B"/>
    <w:rsid w:val="679F76D5"/>
    <w:rsid w:val="681B0182"/>
    <w:rsid w:val="69BE126C"/>
    <w:rsid w:val="6A2D511D"/>
    <w:rsid w:val="6A6E3AFF"/>
    <w:rsid w:val="6B426DD8"/>
    <w:rsid w:val="6CBC2335"/>
    <w:rsid w:val="6D163F0F"/>
    <w:rsid w:val="6D273FC4"/>
    <w:rsid w:val="6D9F7351"/>
    <w:rsid w:val="6F251AEA"/>
    <w:rsid w:val="6F784632"/>
    <w:rsid w:val="70F3092D"/>
    <w:rsid w:val="715E1F8D"/>
    <w:rsid w:val="723B3D2D"/>
    <w:rsid w:val="73176118"/>
    <w:rsid w:val="73853BB4"/>
    <w:rsid w:val="739D1FB8"/>
    <w:rsid w:val="73C37233"/>
    <w:rsid w:val="740105D6"/>
    <w:rsid w:val="75E35FFE"/>
    <w:rsid w:val="772E1173"/>
    <w:rsid w:val="775A09C2"/>
    <w:rsid w:val="78601077"/>
    <w:rsid w:val="79413BAE"/>
    <w:rsid w:val="79644715"/>
    <w:rsid w:val="79DC5945"/>
    <w:rsid w:val="7B615123"/>
    <w:rsid w:val="7B7629C2"/>
    <w:rsid w:val="7BCE7A8B"/>
    <w:rsid w:val="7C34622B"/>
    <w:rsid w:val="7C9F6642"/>
    <w:rsid w:val="7D2D707B"/>
    <w:rsid w:val="7E230932"/>
    <w:rsid w:val="7F902F91"/>
    <w:rsid w:val="7FB66C5B"/>
    <w:rsid w:val="D97E56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ody Text"/>
    <w:basedOn w:val="1"/>
    <w:next w:val="1"/>
    <w:qFormat/>
    <w:uiPriority w:val="0"/>
    <w:pPr>
      <w:jc w:val="center"/>
    </w:pPr>
    <w:rPr>
      <w:rFonts w:eastAsia="黑体"/>
      <w:spacing w:val="-20"/>
      <w:sz w:val="44"/>
    </w:rPr>
  </w:style>
  <w:style w:type="paragraph" w:styleId="5">
    <w:name w:val="Body Text Indent"/>
    <w:basedOn w:val="1"/>
    <w:next w:val="6"/>
    <w:semiHidden/>
    <w:qFormat/>
    <w:uiPriority w:val="0"/>
    <w:pPr>
      <w:snapToGrid w:val="0"/>
      <w:spacing w:after="120" w:line="300" w:lineRule="auto"/>
      <w:ind w:firstLine="480"/>
    </w:pPr>
    <w:rPr>
      <w:rFonts w:ascii="楷体_GB2312" w:eastAsia="楷体_GB2312"/>
      <w:sz w:val="26"/>
    </w:rPr>
  </w:style>
  <w:style w:type="paragraph" w:styleId="6">
    <w:name w:val="Body Text Indent 2"/>
    <w:basedOn w:val="1"/>
    <w:qFormat/>
    <w:uiPriority w:val="0"/>
    <w:pPr>
      <w:spacing w:after="120" w:line="480" w:lineRule="auto"/>
      <w:ind w:left="420" w:leftChars="200"/>
    </w:pPr>
    <w:rPr>
      <w:rFonts w:ascii="Times New Roman" w:hAnsi="Times New Roman" w:eastAsia="宋体" w:cs="宋体"/>
      <w:szCs w:val="24"/>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1"/>
    <w:semiHidden/>
    <w:unhideWhenUsed/>
    <w:qFormat/>
    <w:uiPriority w:val="99"/>
    <w:rPr>
      <w:b/>
      <w:bCs/>
    </w:rPr>
  </w:style>
  <w:style w:type="paragraph" w:styleId="11">
    <w:name w:val="Body Text First Indent"/>
    <w:basedOn w:val="4"/>
    <w:qFormat/>
    <w:uiPriority w:val="0"/>
    <w:pPr>
      <w:spacing w:after="0" w:line="360" w:lineRule="auto"/>
      <w:ind w:firstLine="420"/>
    </w:pPr>
    <w:rPr>
      <w:rFonts w:ascii="宋体" w:hAnsi="宋体" w:eastAsia="仿宋_GB2312"/>
      <w:sz w:val="24"/>
      <w:szCs w:val="20"/>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qFormat/>
    <w:uiPriority w:val="99"/>
  </w:style>
  <w:style w:type="character" w:styleId="16">
    <w:name w:val="annotation reference"/>
    <w:basedOn w:val="14"/>
    <w:semiHidden/>
    <w:unhideWhenUsed/>
    <w:qFormat/>
    <w:uiPriority w:val="99"/>
    <w:rPr>
      <w:sz w:val="21"/>
      <w:szCs w:val="21"/>
    </w:rPr>
  </w:style>
  <w:style w:type="paragraph" w:customStyle="1" w:styleId="17">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批注文字 字符"/>
    <w:basedOn w:val="14"/>
    <w:link w:val="3"/>
    <w:semiHidden/>
    <w:qFormat/>
    <w:uiPriority w:val="99"/>
  </w:style>
  <w:style w:type="character" w:customStyle="1" w:styleId="21">
    <w:name w:val="批注主题 字符"/>
    <w:basedOn w:val="20"/>
    <w:link w:val="10"/>
    <w:semiHidden/>
    <w:qFormat/>
    <w:uiPriority w:val="99"/>
    <w:rPr>
      <w:b/>
      <w:bCs/>
    </w:rPr>
  </w:style>
  <w:style w:type="character" w:customStyle="1" w:styleId="22">
    <w:name w:val="批注框文本 字符"/>
    <w:basedOn w:val="14"/>
    <w:link w:val="7"/>
    <w:semiHidden/>
    <w:qFormat/>
    <w:uiPriority w:val="99"/>
    <w:rPr>
      <w:sz w:val="18"/>
      <w:szCs w:val="18"/>
    </w:rPr>
  </w:style>
  <w:style w:type="character" w:customStyle="1" w:styleId="23">
    <w:name w:val="fontstyle01"/>
    <w:basedOn w:val="14"/>
    <w:qFormat/>
    <w:uiPriority w:val="0"/>
    <w:rPr>
      <w:rFonts w:ascii="宋体" w:hAnsi="宋体" w:eastAsia="宋体" w:cs="宋体"/>
      <w:color w:val="000000"/>
      <w:sz w:val="24"/>
      <w:szCs w:val="24"/>
    </w:rPr>
  </w:style>
  <w:style w:type="character" w:customStyle="1" w:styleId="24">
    <w:name w:val="fontstyle21"/>
    <w:basedOn w:val="14"/>
    <w:qFormat/>
    <w:uiPriority w:val="0"/>
    <w:rPr>
      <w:rFonts w:ascii="Wingdings-Regular" w:hAnsi="Wingdings-Regular" w:eastAsia="Wingdings-Regular" w:cs="Wingdings-Regular"/>
      <w:color w:val="000000"/>
      <w:sz w:val="24"/>
      <w:szCs w:val="24"/>
    </w:rPr>
  </w:style>
  <w:style w:type="character" w:customStyle="1" w:styleId="25">
    <w:name w:val="fontstyle11"/>
    <w:basedOn w:val="14"/>
    <w:qFormat/>
    <w:uiPriority w:val="0"/>
    <w:rPr>
      <w:rFonts w:ascii="Wingdings-Regular" w:hAnsi="Wingdings-Regular" w:eastAsia="Wingdings-Regular" w:cs="Wingdings-Regular"/>
      <w:color w:val="000000"/>
      <w:sz w:val="24"/>
      <w:szCs w:val="24"/>
    </w:rPr>
  </w:style>
  <w:style w:type="paragraph" w:customStyle="1" w:styleId="26">
    <w:name w:val="列出段落1"/>
    <w:basedOn w:val="1"/>
    <w:qFormat/>
    <w:uiPriority w:val="34"/>
    <w:pPr>
      <w:ind w:firstLine="420" w:firstLineChars="200"/>
    </w:pPr>
    <w:rPr>
      <w:rFonts w:ascii="等线" w:hAnsi="等线" w:eastAsia="等线"/>
    </w:rPr>
  </w:style>
  <w:style w:type="paragraph" w:customStyle="1" w:styleId="27">
    <w:name w:val="正文1"/>
    <w:qFormat/>
    <w:uiPriority w:val="0"/>
    <w:pPr>
      <w:widowControl w:val="0"/>
      <w:spacing w:before="240" w:after="240" w:line="278" w:lineRule="auto"/>
      <w:jc w:val="both"/>
    </w:pPr>
    <w:rPr>
      <w:rFonts w:ascii="Cambria" w:hAnsi="Cambria" w:eastAsia="宋体" w:cs="Times New Roman"/>
      <w:b/>
      <w:bCs/>
      <w:lang w:val="en-US" w:eastAsia="zh-CN" w:bidi="ar-SA"/>
    </w:rPr>
  </w:style>
  <w:style w:type="character" w:customStyle="1" w:styleId="28">
    <w:name w:val="font21"/>
    <w:basedOn w:val="14"/>
    <w:qFormat/>
    <w:uiPriority w:val="0"/>
    <w:rPr>
      <w:rFonts w:ascii="Microsoft YaHei Bold" w:hAnsi="Microsoft YaHei Bold" w:eastAsia="Microsoft YaHei Bold" w:cs="Microsoft YaHei Bold"/>
      <w:color w:val="000000"/>
      <w:sz w:val="18"/>
      <w:szCs w:val="18"/>
      <w:u w:val="none"/>
    </w:rPr>
  </w:style>
  <w:style w:type="character" w:customStyle="1" w:styleId="29">
    <w:name w:val="font61"/>
    <w:basedOn w:val="14"/>
    <w:qFormat/>
    <w:uiPriority w:val="0"/>
    <w:rPr>
      <w:rFonts w:hint="eastAsia" w:ascii="宋体" w:hAnsi="宋体" w:eastAsia="宋体" w:cs="宋体"/>
      <w:color w:val="000000"/>
      <w:sz w:val="18"/>
      <w:szCs w:val="18"/>
      <w:u w:val="none"/>
    </w:rPr>
  </w:style>
  <w:style w:type="character" w:customStyle="1" w:styleId="30">
    <w:name w:val="font51"/>
    <w:basedOn w:val="14"/>
    <w:qFormat/>
    <w:uiPriority w:val="0"/>
    <w:rPr>
      <w:rFonts w:ascii="Microsoft YaHei Bold" w:hAnsi="Microsoft YaHei Bold" w:eastAsia="Microsoft YaHei Bold" w:cs="Microsoft YaHei Bold"/>
      <w:color w:val="000000"/>
      <w:sz w:val="16"/>
      <w:szCs w:val="16"/>
      <w:u w:val="none"/>
    </w:rPr>
  </w:style>
  <w:style w:type="character" w:customStyle="1" w:styleId="31">
    <w:name w:val="font11"/>
    <w:basedOn w:val="14"/>
    <w:qFormat/>
    <w:uiPriority w:val="0"/>
    <w:rPr>
      <w:rFonts w:hint="eastAsia" w:ascii="宋体" w:hAnsi="宋体" w:eastAsia="宋体" w:cs="宋体"/>
      <w:color w:val="000000"/>
      <w:sz w:val="16"/>
      <w:szCs w:val="16"/>
      <w:u w:val="none"/>
    </w:rPr>
  </w:style>
  <w:style w:type="paragraph" w:customStyle="1" w:styleId="32">
    <w:name w:val="Revision"/>
    <w:hidden/>
    <w:unhideWhenUsed/>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1552</Words>
  <Characters>8848</Characters>
  <Lines>73</Lines>
  <Paragraphs>20</Paragraphs>
  <TotalTime>7</TotalTime>
  <ScaleCrop>false</ScaleCrop>
  <LinksUpToDate>false</LinksUpToDate>
  <CharactersWithSpaces>10380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2025-10-17T12:35:00Z</dcterms:created>
  <dc:creator>admin</dc:creator>
  <cp:lastModifiedBy>zhuowei-20231124</cp:lastModifiedBy>
  <cp:lastPrinted>2025-10-24T01:19:42Z</cp:lastPrinted>
  <dcterms:modified xsi:type="dcterms:W3CDTF">2025-10-24T01:36:50Z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