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EFE19">
      <w:pPr>
        <w:ind w:firstLine="3240" w:firstLineChars="900"/>
        <w:outlineLvl w:val="0"/>
        <w:rPr>
          <w:rFonts w:ascii="方正小标宋_GBK" w:hAnsi="宋体" w:eastAsia="方正小标宋_GBK"/>
          <w:color w:val="auto"/>
          <w:sz w:val="36"/>
          <w:szCs w:val="36"/>
        </w:rPr>
      </w:pPr>
      <w:bookmarkStart w:id="5" w:name="_GoBack"/>
      <w:bookmarkEnd w:id="5"/>
      <w:r>
        <w:rPr>
          <w:rFonts w:hint="eastAsia" w:ascii="方正小标宋_GBK" w:hAnsi="宋体" w:eastAsia="方正小标宋_GBK"/>
          <w:color w:val="auto"/>
          <w:sz w:val="36"/>
          <w:szCs w:val="36"/>
        </w:rPr>
        <w:t>投</w:t>
      </w:r>
      <w:r>
        <w:rPr>
          <w:rFonts w:ascii="方正小标宋_GBK" w:hAnsi="宋体" w:eastAsia="方正小标宋_GBK"/>
          <w:color w:val="auto"/>
          <w:sz w:val="36"/>
          <w:szCs w:val="36"/>
        </w:rPr>
        <w:t>标人</w:t>
      </w:r>
      <w:r>
        <w:rPr>
          <w:rFonts w:hint="eastAsia" w:ascii="方正小标宋_GBK" w:hAnsi="宋体" w:eastAsia="方正小标宋_GBK"/>
          <w:color w:val="auto"/>
          <w:sz w:val="36"/>
          <w:szCs w:val="36"/>
        </w:rPr>
        <w:t>须</w:t>
      </w:r>
      <w:r>
        <w:rPr>
          <w:rFonts w:ascii="方正小标宋_GBK" w:hAnsi="宋体" w:eastAsia="方正小标宋_GBK"/>
          <w:color w:val="auto"/>
          <w:sz w:val="36"/>
          <w:szCs w:val="36"/>
        </w:rPr>
        <w:t>知</w:t>
      </w:r>
    </w:p>
    <w:p w14:paraId="27CAF503">
      <w:pPr>
        <w:ind w:firstLine="3960" w:firstLineChars="1100"/>
        <w:rPr>
          <w:rFonts w:ascii="方正小标宋_GBK" w:hAnsi="宋体" w:eastAsia="方正小标宋_GBK"/>
          <w:color w:val="auto"/>
          <w:sz w:val="36"/>
          <w:szCs w:val="36"/>
        </w:rPr>
      </w:pPr>
    </w:p>
    <w:p w14:paraId="4B0B9007">
      <w:pPr>
        <w:keepNext w:val="0"/>
        <w:keepLines w:val="0"/>
        <w:pageBreakBefore w:val="0"/>
        <w:kinsoku/>
        <w:wordWrap/>
        <w:overflowPunct/>
        <w:topLinePunct w:val="0"/>
        <w:autoSpaceDE/>
        <w:autoSpaceDN/>
        <w:bidi w:val="0"/>
        <w:adjustRightInd/>
        <w:spacing w:line="594" w:lineRule="exact"/>
        <w:ind w:firstLine="643" w:firstLineChars="200"/>
        <w:jc w:val="both"/>
        <w:textAlignment w:val="auto"/>
        <w:rPr>
          <w:rFonts w:hint="eastAsia" w:ascii="方正黑体_GBK" w:hAnsi="方正黑体_GBK" w:eastAsia="方正黑体_GBK" w:cs="方正黑体_GBK"/>
          <w:b/>
          <w:color w:val="auto"/>
          <w:sz w:val="32"/>
          <w:szCs w:val="32"/>
        </w:rPr>
      </w:pPr>
      <w:r>
        <w:rPr>
          <w:rFonts w:hint="eastAsia" w:ascii="方正黑体_GBK" w:hAnsi="方正黑体_GBK" w:eastAsia="方正黑体_GBK" w:cs="方正黑体_GBK"/>
          <w:b/>
          <w:color w:val="auto"/>
          <w:sz w:val="32"/>
          <w:szCs w:val="32"/>
          <w:lang w:val="en-US" w:eastAsia="zh-CN"/>
        </w:rPr>
        <w:t>一</w:t>
      </w:r>
      <w:r>
        <w:rPr>
          <w:rFonts w:hint="eastAsia" w:ascii="方正黑体_GBK" w:hAnsi="方正黑体_GBK" w:eastAsia="方正黑体_GBK" w:cs="方正黑体_GBK"/>
          <w:b/>
          <w:color w:val="auto"/>
          <w:sz w:val="32"/>
          <w:szCs w:val="32"/>
        </w:rPr>
        <w:t>、项目基本情况</w:t>
      </w:r>
    </w:p>
    <w:p w14:paraId="16790E41">
      <w:pPr>
        <w:ind w:firstLine="480" w:firstLineChars="150"/>
        <w:jc w:val="left"/>
        <w:rPr>
          <w:rFonts w:hint="default" w:ascii="方正仿宋_GBK" w:hAnsi="方正仿宋_GBK" w:eastAsia="方正仿宋_GBK" w:cs="方正仿宋_GBK"/>
          <w:color w:val="auto"/>
          <w:sz w:val="32"/>
          <w:szCs w:val="32"/>
          <w:u w:val="single"/>
          <w:lang w:val="en-US"/>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一）</w:t>
      </w:r>
      <w:r>
        <w:rPr>
          <w:rFonts w:hint="eastAsia" w:ascii="方正仿宋_GBK" w:hAnsi="方正仿宋_GBK" w:eastAsia="方正仿宋_GBK" w:cs="方正仿宋_GBK"/>
          <w:color w:val="auto"/>
          <w:sz w:val="32"/>
          <w:szCs w:val="32"/>
        </w:rPr>
        <w:t>项目名称：</w:t>
      </w:r>
      <w:r>
        <w:rPr>
          <w:rFonts w:hint="eastAsia" w:ascii="方正仿宋_GBK" w:hAnsi="方正仿宋_GBK" w:eastAsia="方正仿宋_GBK" w:cs="方正仿宋_GBK"/>
          <w:color w:val="auto"/>
          <w:sz w:val="32"/>
          <w:szCs w:val="32"/>
          <w:u w:val="single"/>
          <w:lang w:val="en-US" w:eastAsia="zh-CN"/>
        </w:rPr>
        <w:t>人工智能赋能城市治理综合场景支撑服务。</w:t>
      </w:r>
    </w:p>
    <w:p w14:paraId="02C51E3B">
      <w:pPr>
        <w:keepNext w:val="0"/>
        <w:keepLines w:val="0"/>
        <w:pageBreakBefore w:val="0"/>
        <w:kinsoku/>
        <w:wordWrap/>
        <w:overflowPunct/>
        <w:topLinePunct w:val="0"/>
        <w:autoSpaceDE/>
        <w:autoSpaceDN/>
        <w:bidi w:val="0"/>
        <w:adjustRightInd/>
        <w:spacing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二）</w:t>
      </w:r>
      <w:r>
        <w:rPr>
          <w:rFonts w:hint="eastAsia" w:ascii="方正仿宋_GBK" w:hAnsi="方正仿宋_GBK" w:eastAsia="方正仿宋_GBK" w:cs="方正仿宋_GBK"/>
          <w:color w:val="auto"/>
          <w:sz w:val="32"/>
          <w:szCs w:val="32"/>
        </w:rPr>
        <w:t>招标人：重庆九龙现代</w:t>
      </w:r>
      <w:r>
        <w:rPr>
          <w:rFonts w:hint="eastAsia" w:ascii="方正仿宋_GBK" w:hAnsi="方正仿宋_GBK" w:eastAsia="方正仿宋_GBK" w:cs="方正仿宋_GBK"/>
          <w:color w:val="auto"/>
          <w:sz w:val="32"/>
          <w:szCs w:val="32"/>
          <w:lang w:val="en-US" w:eastAsia="zh-CN"/>
        </w:rPr>
        <w:t>数字科技有限公司</w:t>
      </w:r>
      <w:r>
        <w:rPr>
          <w:rFonts w:hint="eastAsia" w:ascii="方正仿宋_GBK" w:hAnsi="方正仿宋_GBK" w:eastAsia="方正仿宋_GBK" w:cs="方正仿宋_GBK"/>
          <w:color w:val="auto"/>
          <w:sz w:val="32"/>
          <w:szCs w:val="32"/>
        </w:rPr>
        <w:t>。</w:t>
      </w:r>
    </w:p>
    <w:p w14:paraId="1540A14E">
      <w:pPr>
        <w:spacing w:line="600"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三）</w:t>
      </w:r>
      <w:r>
        <w:rPr>
          <w:rFonts w:hint="eastAsia" w:ascii="方正仿宋_GBK" w:hAnsi="方正仿宋_GBK" w:eastAsia="方正仿宋_GBK" w:cs="方正仿宋_GBK"/>
          <w:color w:val="auto"/>
          <w:sz w:val="32"/>
          <w:szCs w:val="32"/>
        </w:rPr>
        <w:t>项目概况：</w:t>
      </w:r>
      <w:r>
        <w:rPr>
          <w:rFonts w:hint="default" w:ascii="方正仿宋_GBK" w:hAnsi="方正仿宋_GBK" w:eastAsia="方正仿宋_GBK" w:cs="方正仿宋_GBK"/>
          <w:sz w:val="32"/>
          <w:szCs w:val="32"/>
          <w:lang w:val="en-US" w:eastAsia="zh-CN"/>
        </w:rPr>
        <w:t>构建高效、准确、智能的多跨事件处理平台，通过知识库构建、分派模型优化、智能报表分析</w:t>
      </w:r>
      <w:r>
        <w:rPr>
          <w:rFonts w:hint="eastAsia" w:ascii="方正仿宋_GBK" w:hAnsi="方正仿宋_GBK" w:eastAsia="方正仿宋_GBK" w:cs="方正仿宋_GBK"/>
          <w:sz w:val="32"/>
          <w:szCs w:val="32"/>
          <w:lang w:val="en-US" w:eastAsia="zh-CN"/>
        </w:rPr>
        <w:t>、统一接口对接及</w:t>
      </w:r>
      <w:r>
        <w:rPr>
          <w:rFonts w:hint="default" w:ascii="方正仿宋_GBK" w:hAnsi="方正仿宋_GBK" w:eastAsia="方正仿宋_GBK" w:cs="方正仿宋_GBK"/>
          <w:sz w:val="32"/>
          <w:szCs w:val="32"/>
          <w:lang w:val="en-US" w:eastAsia="zh-CN"/>
        </w:rPr>
        <w:t>技术保障，实现事件处理的自动化、智能化与高效化，提升平台分拨准确性、处理效率及管理决策的科学性，为政府及相关部门提供强有力的技术支持与决策依据。</w:t>
      </w:r>
    </w:p>
    <w:p w14:paraId="16C10B08">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（四）验收材料：</w:t>
      </w:r>
    </w:p>
    <w:p w14:paraId="153FECD8">
      <w:pPr>
        <w:pStyle w:val="4"/>
        <w:keepNext w:val="0"/>
        <w:keepLines w:val="0"/>
        <w:pageBreakBefore w:val="0"/>
        <w:widowControl w:val="0"/>
        <w:kinsoku/>
        <w:wordWrap/>
        <w:overflowPunct/>
        <w:topLinePunct w:val="0"/>
        <w:autoSpaceDE/>
        <w:autoSpaceDN/>
        <w:bidi w:val="0"/>
        <w:adjustRightInd/>
        <w:snapToGrid/>
        <w:spacing w:after="0" w:afterAutospacing="0" w:line="594" w:lineRule="exact"/>
        <w:ind w:left="0" w:leftChars="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eastAsia="方正仿宋_GBK" w:cs="Times New Roman"/>
          <w:snapToGrid w:val="0"/>
          <w:kern w:val="0"/>
          <w:sz w:val="32"/>
          <w:szCs w:val="20"/>
          <w:highlight w:val="none"/>
          <w:lang w:val="en-US" w:eastAsia="zh-CN" w:bidi="ar-SA"/>
        </w:rPr>
        <w:t>中标人须提供包括源代码、需求规格说明书、数据库设计规范、测试报告、系统部署及运维手册、用户使用手册等招标人所要求的各项软件开发成果交付物。注：系统源代码需按招标人要求上传至统一的管理平台进行管理维护。</w:t>
      </w:r>
    </w:p>
    <w:p w14:paraId="338D3A11">
      <w:pPr>
        <w:keepNext w:val="0"/>
        <w:keepLines w:val="0"/>
        <w:pageBreakBefore w:val="0"/>
        <w:kinsoku/>
        <w:wordWrap/>
        <w:overflowPunct/>
        <w:topLinePunct w:val="0"/>
        <w:autoSpaceDE/>
        <w:autoSpaceDN/>
        <w:bidi w:val="0"/>
        <w:adjustRightInd/>
        <w:spacing w:line="594" w:lineRule="exact"/>
        <w:ind w:left="0" w:firstLine="643" w:firstLineChars="200"/>
        <w:jc w:val="both"/>
        <w:textAlignment w:val="auto"/>
        <w:rPr>
          <w:rFonts w:hint="eastAsia" w:ascii="方正黑体_GBK" w:hAnsi="方正黑体_GBK" w:eastAsia="方正黑体_GBK" w:cs="方正黑体_GBK"/>
          <w:b/>
          <w:color w:val="auto"/>
          <w:sz w:val="32"/>
          <w:szCs w:val="32"/>
          <w:highlight w:val="none"/>
          <w:lang w:val="en-US" w:eastAsia="zh-CN"/>
        </w:rPr>
      </w:pPr>
      <w:r>
        <w:rPr>
          <w:rFonts w:hint="eastAsia" w:ascii="方正黑体_GBK" w:hAnsi="方正黑体_GBK" w:eastAsia="方正黑体_GBK" w:cs="方正黑体_GBK"/>
          <w:b/>
          <w:color w:val="auto"/>
          <w:sz w:val="32"/>
          <w:szCs w:val="32"/>
          <w:highlight w:val="none"/>
          <w:lang w:val="en-US" w:eastAsia="zh-CN"/>
        </w:rPr>
        <w:t>二、项目投标范围</w:t>
      </w:r>
    </w:p>
    <w:p w14:paraId="694C6133">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一</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服务</w:t>
      </w:r>
      <w:r>
        <w:rPr>
          <w:rFonts w:hint="eastAsia" w:ascii="方正仿宋_GBK" w:hAnsi="方正仿宋_GBK" w:eastAsia="方正仿宋_GBK" w:cs="方正仿宋_GBK"/>
          <w:color w:val="auto"/>
          <w:sz w:val="32"/>
          <w:szCs w:val="32"/>
          <w:highlight w:val="none"/>
        </w:rPr>
        <w:t>内容：</w:t>
      </w:r>
      <w:r>
        <w:rPr>
          <w:rFonts w:hint="eastAsia" w:ascii="方正仿宋_GBK" w:hAnsi="方正仿宋_GBK" w:eastAsia="方正仿宋_GBK" w:cs="方正仿宋_GBK"/>
          <w:color w:val="auto"/>
          <w:sz w:val="32"/>
          <w:szCs w:val="32"/>
          <w:highlight w:val="none"/>
          <w:lang w:val="en-US" w:eastAsia="zh-CN"/>
        </w:rPr>
        <w:t>详见人工智能赋能城市治理综合场景支撑服务清单（附件4）。</w:t>
      </w:r>
    </w:p>
    <w:p w14:paraId="6EC199EC">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二</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服务期</w:t>
      </w:r>
      <w:r>
        <w:rPr>
          <w:rFonts w:hint="eastAsia" w:ascii="方正仿宋_GBK" w:hAnsi="方正仿宋_GBK" w:eastAsia="方正仿宋_GBK" w:cs="方正仿宋_GBK"/>
          <w:color w:val="auto"/>
          <w:sz w:val="32"/>
          <w:szCs w:val="32"/>
          <w:highlight w:val="none"/>
        </w:rPr>
        <w:t>：包含服务交付期和运维期</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rPr>
        <w:t>服务交付需在</w:t>
      </w:r>
      <w:r>
        <w:rPr>
          <w:rFonts w:hint="eastAsia" w:ascii="方正仿宋_GBK" w:hAnsi="方正仿宋_GBK" w:eastAsia="方正仿宋_GBK" w:cs="方正仿宋_GBK"/>
          <w:color w:val="auto"/>
          <w:sz w:val="32"/>
          <w:szCs w:val="32"/>
          <w:lang w:val="en-US" w:eastAsia="zh-CN"/>
        </w:rPr>
        <w:t>合同签订之日起7日历天内交付</w:t>
      </w:r>
      <w:r>
        <w:rPr>
          <w:rFonts w:hint="eastAsia" w:ascii="方正仿宋_GBK" w:hAnsi="方正仿宋_GBK" w:eastAsia="方正仿宋_GBK" w:cs="方正仿宋_GBK"/>
          <w:color w:val="auto"/>
          <w:sz w:val="32"/>
          <w:szCs w:val="32"/>
          <w:highlight w:val="none"/>
          <w:lang w:val="en-US" w:eastAsia="zh-CN"/>
        </w:rPr>
        <w:t>；运维期为采购服务交付并经招标人验收合格之日起365天</w:t>
      </w:r>
      <w:r>
        <w:rPr>
          <w:rFonts w:hint="eastAsia" w:ascii="方正仿宋_GBK" w:hAnsi="方正仿宋_GBK" w:eastAsia="方正仿宋_GBK" w:cs="方正仿宋_GBK"/>
          <w:color w:val="auto"/>
          <w:sz w:val="32"/>
          <w:szCs w:val="32"/>
          <w:lang w:val="en-US" w:eastAsia="zh-CN"/>
        </w:rPr>
        <w:t>。投标文件须满足谈判公告对工期的要求，否则其资格性、符合性审查不合格</w:t>
      </w:r>
      <w:r>
        <w:rPr>
          <w:rFonts w:hint="eastAsia" w:ascii="方正仿宋_GBK" w:hAnsi="方正仿宋_GBK" w:eastAsia="方正仿宋_GBK" w:cs="方正仿宋_GBK"/>
          <w:color w:val="auto"/>
          <w:sz w:val="32"/>
          <w:szCs w:val="32"/>
        </w:rPr>
        <w:t>。</w:t>
      </w:r>
    </w:p>
    <w:p w14:paraId="32D57A10">
      <w:pPr>
        <w:keepNext w:val="0"/>
        <w:keepLines w:val="0"/>
        <w:pageBreakBefore w:val="0"/>
        <w:kinsoku/>
        <w:wordWrap/>
        <w:overflowPunct/>
        <w:topLinePunct w:val="0"/>
        <w:autoSpaceDE/>
        <w:autoSpaceDN/>
        <w:bidi w:val="0"/>
        <w:adjustRightInd/>
        <w:spacing w:line="594" w:lineRule="exact"/>
        <w:ind w:left="0" w:firstLine="643" w:firstLineChars="200"/>
        <w:jc w:val="both"/>
        <w:textAlignment w:val="auto"/>
        <w:rPr>
          <w:rFonts w:hint="eastAsia" w:ascii="方正黑体_GBK" w:hAnsi="方正黑体_GBK" w:eastAsia="方正黑体_GBK" w:cs="方正黑体_GBK"/>
          <w:b/>
          <w:color w:val="auto"/>
          <w:sz w:val="32"/>
          <w:szCs w:val="32"/>
          <w:lang w:val="en-US" w:eastAsia="zh-CN"/>
        </w:rPr>
      </w:pPr>
      <w:r>
        <w:rPr>
          <w:rFonts w:hint="eastAsia" w:ascii="方正黑体_GBK" w:hAnsi="方正黑体_GBK" w:eastAsia="方正黑体_GBK" w:cs="方正黑体_GBK"/>
          <w:b/>
          <w:color w:val="auto"/>
          <w:sz w:val="32"/>
          <w:szCs w:val="32"/>
          <w:lang w:val="en-US" w:eastAsia="zh-CN"/>
        </w:rPr>
        <w:t>三、投标人资格要求</w:t>
      </w:r>
    </w:p>
    <w:p w14:paraId="60D3D41C">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（一）具备有效的营业执照（须提供有效的营业执照副本复印件）；</w:t>
      </w:r>
    </w:p>
    <w:p w14:paraId="685D5C6D">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（二）具有良好的商业信誉和健全的财务会计制度；</w:t>
      </w:r>
    </w:p>
    <w:p w14:paraId="691ADE04">
      <w:pPr>
        <w:pStyle w:val="13"/>
        <w:spacing w:after="0" w:line="600" w:lineRule="exact"/>
        <w:ind w:left="0" w:leftChars="0" w:firstLine="64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（三）具有履行合同所必需的设备和专业技术能力；</w:t>
      </w:r>
    </w:p>
    <w:p w14:paraId="3F83FA92">
      <w:pPr>
        <w:spacing w:line="600" w:lineRule="exact"/>
        <w:ind w:firstLine="640" w:firstLineChars="200"/>
        <w:rPr>
          <w:color w:val="auto"/>
          <w:sz w:val="32"/>
          <w:szCs w:val="32"/>
        </w:rPr>
      </w:pPr>
      <w:r>
        <w:rPr>
          <w:rFonts w:hint="eastAsia" w:ascii="方正仿宋_GBK" w:hAnsi="方正仿宋_GBK" w:eastAsia="方正仿宋_GBK" w:cs="方正仿宋_GBK"/>
          <w:color w:val="auto"/>
          <w:sz w:val="32"/>
          <w:szCs w:val="32"/>
        </w:rPr>
        <w:t>（四）有依法缴纳税收和社会保障金的良好记录；</w:t>
      </w:r>
    </w:p>
    <w:p w14:paraId="5BF94195">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（五）参加采购活动前三年内，在经营活动中没有重大违法记录；</w:t>
      </w:r>
    </w:p>
    <w:p w14:paraId="298BDCA1">
      <w:pPr>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（六）本次招标</w:t>
      </w:r>
      <w:r>
        <w:rPr>
          <w:rFonts w:hint="eastAsia" w:ascii="方正仿宋_GBK" w:hAnsi="方正仿宋_GBK" w:eastAsia="方正仿宋_GBK" w:cs="方正仿宋_GBK"/>
          <w:color w:val="auto"/>
          <w:sz w:val="32"/>
          <w:szCs w:val="32"/>
          <w:u w:val="single"/>
        </w:rPr>
        <w:t>不接受</w:t>
      </w:r>
      <w:r>
        <w:rPr>
          <w:rFonts w:hint="eastAsia" w:ascii="方正仿宋_GBK" w:hAnsi="方正仿宋_GBK" w:eastAsia="方正仿宋_GBK" w:cs="方正仿宋_GBK"/>
          <w:color w:val="auto"/>
          <w:sz w:val="32"/>
          <w:szCs w:val="32"/>
        </w:rPr>
        <w:t>联合体投标，中选后不允许分包、转包。</w:t>
      </w:r>
    </w:p>
    <w:p w14:paraId="65542171">
      <w:pPr>
        <w:keepNext w:val="0"/>
        <w:keepLines w:val="0"/>
        <w:pageBreakBefore w:val="0"/>
        <w:kinsoku/>
        <w:wordWrap/>
        <w:overflowPunct/>
        <w:topLinePunct w:val="0"/>
        <w:autoSpaceDE/>
        <w:autoSpaceDN/>
        <w:bidi w:val="0"/>
        <w:adjustRightInd/>
        <w:spacing w:line="594" w:lineRule="exact"/>
        <w:ind w:left="0" w:firstLine="643" w:firstLineChars="200"/>
        <w:jc w:val="both"/>
        <w:textAlignment w:val="auto"/>
        <w:rPr>
          <w:rFonts w:hint="eastAsia" w:ascii="方正黑体_GBK" w:hAnsi="方正黑体_GBK" w:eastAsia="方正黑体_GBK" w:cs="方正黑体_GBK"/>
          <w:b/>
          <w:color w:val="auto"/>
          <w:sz w:val="32"/>
          <w:szCs w:val="32"/>
          <w:lang w:val="en-US" w:eastAsia="zh-CN"/>
        </w:rPr>
      </w:pPr>
      <w:r>
        <w:rPr>
          <w:rFonts w:hint="eastAsia" w:ascii="方正黑体_GBK" w:hAnsi="方正黑体_GBK" w:eastAsia="方正黑体_GBK" w:cs="方正黑体_GBK"/>
          <w:b/>
          <w:color w:val="auto"/>
          <w:sz w:val="32"/>
          <w:szCs w:val="32"/>
          <w:lang w:val="en-US" w:eastAsia="zh-CN"/>
        </w:rPr>
        <w:t>四、投标报价</w:t>
      </w:r>
    </w:p>
    <w:p w14:paraId="0383218F">
      <w:pPr>
        <w:spacing w:line="600" w:lineRule="exact"/>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一）</w:t>
      </w:r>
      <w:r>
        <w:rPr>
          <w:rFonts w:hint="eastAsia" w:ascii="方正仿宋_GBK" w:hAnsi="方正仿宋_GBK" w:eastAsia="方正仿宋_GBK" w:cs="方正仿宋_GBK"/>
          <w:color w:val="auto"/>
          <w:sz w:val="32"/>
          <w:szCs w:val="32"/>
        </w:rPr>
        <w:t>本项目投标报价最高限价为</w:t>
      </w:r>
      <w:r>
        <w:rPr>
          <w:rFonts w:hint="eastAsia" w:ascii="方正仿宋_GBK" w:hAnsi="方正仿宋_GBK" w:eastAsia="方正仿宋_GBK" w:cs="方正仿宋_GBK"/>
          <w:b/>
          <w:bCs/>
          <w:color w:val="auto"/>
          <w:sz w:val="32"/>
          <w:szCs w:val="32"/>
          <w:highlight w:val="none"/>
          <w:u w:val="single"/>
          <w:lang w:val="en-US" w:eastAsia="zh-CN"/>
        </w:rPr>
        <w:t>120000</w:t>
      </w:r>
      <w:r>
        <w:rPr>
          <w:rFonts w:hint="eastAsia" w:ascii="方正仿宋_GBK" w:hAnsi="方正仿宋_GBK" w:eastAsia="方正仿宋_GBK" w:cs="方正仿宋_GBK"/>
          <w:color w:val="auto"/>
          <w:sz w:val="32"/>
          <w:szCs w:val="32"/>
          <w:highlight w:val="none"/>
          <w:u w:val="single"/>
        </w:rPr>
        <w:t>元</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宋体" w:eastAsia="方正仿宋_GBK"/>
          <w:color w:val="auto"/>
          <w:sz w:val="32"/>
          <w:szCs w:val="32"/>
        </w:rPr>
        <w:t>投标总报价</w:t>
      </w:r>
      <w:r>
        <w:rPr>
          <w:rFonts w:hint="eastAsia" w:ascii="方正仿宋_GBK" w:hAnsi="宋体" w:eastAsia="方正仿宋_GBK"/>
          <w:color w:val="auto"/>
          <w:sz w:val="32"/>
          <w:szCs w:val="32"/>
          <w:lang w:val="en-US" w:eastAsia="zh-CN"/>
        </w:rPr>
        <w:t>以</w:t>
      </w:r>
      <w:r>
        <w:rPr>
          <w:rFonts w:hint="eastAsia" w:ascii="方正仿宋_GBK" w:hAnsi="宋体" w:eastAsia="方正仿宋_GBK"/>
          <w:color w:val="auto"/>
          <w:sz w:val="32"/>
          <w:szCs w:val="32"/>
        </w:rPr>
        <w:t>元为单位，保留两位小数，小数点后第三位四舍五入，不足两位的按实际位数保留。</w:t>
      </w:r>
    </w:p>
    <w:p w14:paraId="1E79D1CF">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二）</w:t>
      </w:r>
      <w:r>
        <w:rPr>
          <w:rFonts w:hint="eastAsia" w:ascii="方正仿宋_GBK" w:hAnsi="方正仿宋_GBK" w:eastAsia="方正仿宋_GBK" w:cs="方正仿宋_GBK"/>
          <w:color w:val="auto"/>
          <w:sz w:val="32"/>
          <w:szCs w:val="32"/>
        </w:rPr>
        <w:t>投标人投标报价不得超过招标人公布的最高限价，否则按废标处理。</w:t>
      </w:r>
    </w:p>
    <w:p w14:paraId="3E84A568">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三）</w:t>
      </w:r>
      <w:r>
        <w:rPr>
          <w:rFonts w:hint="eastAsia" w:ascii="方正仿宋_GBK" w:hAnsi="方正仿宋_GBK" w:eastAsia="方正仿宋_GBK" w:cs="方正仿宋_GBK"/>
          <w:color w:val="auto"/>
          <w:sz w:val="32"/>
          <w:szCs w:val="32"/>
          <w:highlight w:val="none"/>
          <w:lang w:eastAsia="zh-CN"/>
        </w:rPr>
        <w:t>本次报价须为人民币报价，报价包括本项目所有</w:t>
      </w:r>
      <w:r>
        <w:rPr>
          <w:rFonts w:hint="eastAsia" w:ascii="方正仿宋_GBK" w:hAnsi="方正仿宋_GBK" w:eastAsia="方正仿宋_GBK" w:cs="方正仿宋_GBK"/>
          <w:color w:val="auto"/>
          <w:sz w:val="32"/>
          <w:szCs w:val="32"/>
          <w:highlight w:val="none"/>
          <w:lang w:val="en-US" w:eastAsia="zh-CN"/>
        </w:rPr>
        <w:t>设计</w:t>
      </w:r>
      <w:r>
        <w:rPr>
          <w:rFonts w:hint="eastAsia" w:ascii="方正仿宋_GBK" w:hAnsi="方正仿宋_GBK" w:eastAsia="方正仿宋_GBK" w:cs="方正仿宋_GBK"/>
          <w:color w:val="auto"/>
          <w:sz w:val="32"/>
          <w:szCs w:val="32"/>
          <w:highlight w:val="none"/>
          <w:lang w:eastAsia="zh-CN"/>
        </w:rPr>
        <w:t>费、各种应纳的税费等完成本项目的一切费用。因</w:t>
      </w:r>
      <w:r>
        <w:rPr>
          <w:rFonts w:hint="eastAsia" w:ascii="方正仿宋_GBK" w:hAnsi="方正仿宋_GBK" w:eastAsia="方正仿宋_GBK" w:cs="方正仿宋_GBK"/>
          <w:color w:val="auto"/>
          <w:sz w:val="32"/>
          <w:szCs w:val="32"/>
          <w:highlight w:val="none"/>
          <w:lang w:val="en-US" w:eastAsia="zh-CN"/>
        </w:rPr>
        <w:t>投标人</w:t>
      </w:r>
      <w:r>
        <w:rPr>
          <w:rFonts w:hint="eastAsia" w:ascii="方正仿宋_GBK" w:hAnsi="方正仿宋_GBK" w:eastAsia="方正仿宋_GBK" w:cs="方正仿宋_GBK"/>
          <w:color w:val="auto"/>
          <w:sz w:val="32"/>
          <w:szCs w:val="32"/>
          <w:highlight w:val="none"/>
          <w:lang w:eastAsia="zh-CN"/>
        </w:rPr>
        <w:t>自身原因造成漏报、少报皆由其自行承担责任，</w:t>
      </w:r>
      <w:r>
        <w:rPr>
          <w:rFonts w:hint="eastAsia" w:ascii="方正仿宋_GBK" w:hAnsi="方正仿宋_GBK" w:eastAsia="方正仿宋_GBK" w:cs="方正仿宋_GBK"/>
          <w:color w:val="auto"/>
          <w:sz w:val="32"/>
          <w:szCs w:val="32"/>
          <w:highlight w:val="none"/>
          <w:lang w:val="en-US" w:eastAsia="zh-CN"/>
        </w:rPr>
        <w:t>招标</w:t>
      </w:r>
      <w:r>
        <w:rPr>
          <w:rFonts w:hint="eastAsia" w:ascii="方正仿宋_GBK" w:hAnsi="方正仿宋_GBK" w:eastAsia="方正仿宋_GBK" w:cs="方正仿宋_GBK"/>
          <w:color w:val="auto"/>
          <w:sz w:val="32"/>
          <w:szCs w:val="32"/>
          <w:highlight w:val="none"/>
          <w:lang w:eastAsia="zh-CN"/>
        </w:rPr>
        <w:t>人不再补偿。</w:t>
      </w:r>
    </w:p>
    <w:p w14:paraId="3889F024">
      <w:pPr>
        <w:keepNext w:val="0"/>
        <w:keepLines w:val="0"/>
        <w:pageBreakBefore w:val="0"/>
        <w:kinsoku/>
        <w:wordWrap/>
        <w:overflowPunct/>
        <w:topLinePunct w:val="0"/>
        <w:autoSpaceDE/>
        <w:autoSpaceDN/>
        <w:bidi w:val="0"/>
        <w:adjustRightInd/>
        <w:spacing w:line="594" w:lineRule="exact"/>
        <w:ind w:left="0" w:firstLine="632" w:firstLineChars="200"/>
        <w:jc w:val="both"/>
        <w:textAlignment w:val="auto"/>
        <w:rPr>
          <w:rFonts w:hint="eastAsia" w:ascii="方正黑体_GBK" w:hAnsi="方正黑体_GBK" w:eastAsia="方正黑体_GBK" w:cs="方正黑体_GBK"/>
          <w:snapToGrid w:val="0"/>
          <w:color w:val="auto"/>
          <w:w w:val="99"/>
          <w:sz w:val="32"/>
          <w:szCs w:val="32"/>
          <w:lang w:val="en-US" w:eastAsia="zh-CN"/>
        </w:rPr>
      </w:pPr>
      <w:r>
        <w:rPr>
          <w:rFonts w:hint="eastAsia" w:ascii="方正黑体_GBK" w:hAnsi="方正黑体_GBK" w:eastAsia="方正黑体_GBK" w:cs="方正黑体_GBK"/>
          <w:snapToGrid w:val="0"/>
          <w:color w:val="auto"/>
          <w:w w:val="99"/>
          <w:sz w:val="32"/>
          <w:szCs w:val="32"/>
          <w:lang w:val="en-US" w:eastAsia="zh-CN"/>
        </w:rPr>
        <w:t>五</w:t>
      </w:r>
      <w:r>
        <w:rPr>
          <w:rFonts w:hint="eastAsia" w:ascii="方正黑体_GBK" w:hAnsi="方正黑体_GBK" w:eastAsia="方正黑体_GBK" w:cs="方正黑体_GBK"/>
          <w:snapToGrid w:val="0"/>
          <w:color w:val="auto"/>
          <w:w w:val="99"/>
          <w:sz w:val="32"/>
          <w:szCs w:val="32"/>
        </w:rPr>
        <w:t>、付款</w:t>
      </w:r>
      <w:r>
        <w:rPr>
          <w:rFonts w:hint="eastAsia" w:ascii="方正黑体_GBK" w:hAnsi="方正黑体_GBK" w:eastAsia="方正黑体_GBK" w:cs="方正黑体_GBK"/>
          <w:snapToGrid w:val="0"/>
          <w:color w:val="auto"/>
          <w:w w:val="99"/>
          <w:sz w:val="32"/>
          <w:szCs w:val="32"/>
          <w:lang w:val="en-US" w:eastAsia="zh-CN"/>
        </w:rPr>
        <w:t>方式</w:t>
      </w:r>
    </w:p>
    <w:p w14:paraId="278415D4">
      <w:pPr>
        <w:spacing w:line="580" w:lineRule="exact"/>
        <w:ind w:firstLine="480" w:firstLineChars="15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一</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项目经</w:t>
      </w:r>
      <w:r>
        <w:rPr>
          <w:rFonts w:hint="eastAsia" w:ascii="方正仿宋_GBK" w:hAnsi="方正仿宋_GBK" w:eastAsia="方正仿宋_GBK" w:cs="方正仿宋_GBK"/>
          <w:color w:val="auto"/>
          <w:sz w:val="32"/>
          <w:szCs w:val="32"/>
          <w:lang w:val="en-US" w:eastAsia="zh-CN"/>
        </w:rPr>
        <w:t>招标人</w:t>
      </w:r>
      <w:r>
        <w:rPr>
          <w:rFonts w:hint="eastAsia" w:ascii="方正仿宋_GBK" w:hAnsi="方正仿宋_GBK" w:eastAsia="方正仿宋_GBK" w:cs="方正仿宋_GBK"/>
          <w:color w:val="auto"/>
          <w:sz w:val="32"/>
          <w:szCs w:val="32"/>
        </w:rPr>
        <w:t>验收合格并出具《项目交付确认函》，</w:t>
      </w:r>
      <w:r>
        <w:rPr>
          <w:rFonts w:hint="eastAsia" w:ascii="方正仿宋_GBK" w:hAnsi="方正仿宋_GBK" w:eastAsia="方正仿宋_GBK" w:cs="方正仿宋_GBK"/>
          <w:color w:val="auto"/>
          <w:sz w:val="32"/>
          <w:szCs w:val="32"/>
          <w:lang w:val="en-US" w:eastAsia="zh-CN"/>
        </w:rPr>
        <w:t>中标人</w:t>
      </w:r>
      <w:r>
        <w:rPr>
          <w:rFonts w:hint="eastAsia" w:ascii="方正仿宋_GBK" w:hAnsi="方正仿宋_GBK" w:eastAsia="方正仿宋_GBK" w:cs="方正仿宋_GBK"/>
          <w:color w:val="auto"/>
          <w:sz w:val="32"/>
          <w:szCs w:val="32"/>
        </w:rPr>
        <w:t>应开具合规增值税发票。</w:t>
      </w:r>
      <w:r>
        <w:rPr>
          <w:rFonts w:hint="eastAsia" w:ascii="方正仿宋_GBK" w:hAnsi="方正仿宋_GBK" w:eastAsia="方正仿宋_GBK" w:cs="方正仿宋_GBK"/>
          <w:color w:val="auto"/>
          <w:sz w:val="32"/>
          <w:szCs w:val="32"/>
          <w:lang w:val="en-US" w:eastAsia="zh-CN"/>
        </w:rPr>
        <w:t>招标人</w:t>
      </w:r>
      <w:r>
        <w:rPr>
          <w:rFonts w:hint="eastAsia" w:ascii="方正仿宋_GBK" w:hAnsi="方正仿宋_GBK" w:eastAsia="方正仿宋_GBK" w:cs="方正仿宋_GBK"/>
          <w:color w:val="auto"/>
          <w:sz w:val="32"/>
          <w:szCs w:val="32"/>
        </w:rPr>
        <w:t>应自收到发票之日起</w:t>
      </w:r>
      <w:r>
        <w:rPr>
          <w:rFonts w:hint="eastAsia" w:ascii="方正仿宋_GBK" w:hAnsi="方正仿宋_GBK" w:eastAsia="方正仿宋_GBK" w:cs="方正仿宋_GBK"/>
          <w:color w:val="auto"/>
          <w:sz w:val="32"/>
          <w:szCs w:val="32"/>
          <w:lang w:val="en-US" w:eastAsia="zh-CN"/>
        </w:rPr>
        <w:t>10</w:t>
      </w:r>
      <w:r>
        <w:rPr>
          <w:rFonts w:hint="eastAsia" w:ascii="方正仿宋_GBK" w:hAnsi="方正仿宋_GBK" w:eastAsia="方正仿宋_GBK" w:cs="方正仿宋_GBK"/>
          <w:color w:val="auto"/>
          <w:sz w:val="32"/>
          <w:szCs w:val="32"/>
        </w:rPr>
        <w:t>个工作日内向</w:t>
      </w:r>
      <w:r>
        <w:rPr>
          <w:rFonts w:hint="eastAsia" w:ascii="方正仿宋_GBK" w:hAnsi="方正仿宋_GBK" w:eastAsia="方正仿宋_GBK" w:cs="方正仿宋_GBK"/>
          <w:color w:val="auto"/>
          <w:sz w:val="32"/>
          <w:szCs w:val="32"/>
          <w:lang w:val="en-US" w:eastAsia="zh-CN"/>
        </w:rPr>
        <w:t>中标人</w:t>
      </w:r>
      <w:r>
        <w:rPr>
          <w:rFonts w:hint="eastAsia" w:ascii="方正仿宋_GBK" w:hAnsi="方正仿宋_GBK" w:eastAsia="方正仿宋_GBK" w:cs="方正仿宋_GBK"/>
          <w:color w:val="auto"/>
          <w:sz w:val="32"/>
          <w:szCs w:val="32"/>
        </w:rPr>
        <w:t>一次性支付本合同</w:t>
      </w:r>
      <w:r>
        <w:rPr>
          <w:rFonts w:hint="eastAsia" w:ascii="方正仿宋_GBK" w:hAnsi="方正仿宋_GBK" w:eastAsia="方正仿宋_GBK" w:cs="方正仿宋_GBK"/>
          <w:color w:val="auto"/>
          <w:sz w:val="32"/>
          <w:szCs w:val="32"/>
          <w:lang w:val="en-US" w:eastAsia="zh-CN"/>
        </w:rPr>
        <w:t>全部</w:t>
      </w:r>
      <w:r>
        <w:rPr>
          <w:rFonts w:hint="eastAsia" w:ascii="方正仿宋_GBK" w:hAnsi="方正仿宋_GBK" w:eastAsia="方正仿宋_GBK" w:cs="方正仿宋_GBK"/>
          <w:color w:val="auto"/>
          <w:sz w:val="32"/>
          <w:szCs w:val="32"/>
        </w:rPr>
        <w:t>费用</w:t>
      </w:r>
      <w:r>
        <w:rPr>
          <w:rFonts w:hint="eastAsia" w:ascii="方正仿宋_GBK" w:hAnsi="方正仿宋_GBK" w:eastAsia="方正仿宋_GBK" w:cs="方正仿宋_GBK"/>
          <w:color w:val="auto"/>
          <w:sz w:val="32"/>
          <w:szCs w:val="32"/>
          <w:lang w:val="en-US" w:eastAsia="zh-CN"/>
        </w:rPr>
        <w:t>。</w:t>
      </w:r>
    </w:p>
    <w:p w14:paraId="6B5C4E60">
      <w:pPr>
        <w:keepNext w:val="0"/>
        <w:keepLines w:val="0"/>
        <w:pageBreakBefore w:val="0"/>
        <w:kinsoku/>
        <w:wordWrap/>
        <w:overflowPunct/>
        <w:topLinePunct w:val="0"/>
        <w:autoSpaceDE/>
        <w:autoSpaceDN/>
        <w:bidi w:val="0"/>
        <w:adjustRightInd/>
        <w:spacing w:line="594" w:lineRule="exact"/>
        <w:ind w:left="0" w:firstLine="643" w:firstLineChars="200"/>
        <w:jc w:val="both"/>
        <w:textAlignment w:val="auto"/>
        <w:rPr>
          <w:rFonts w:hint="eastAsia" w:ascii="方正黑体_GBK" w:hAnsi="方正黑体_GBK" w:eastAsia="方正黑体_GBK" w:cs="方正黑体_GBK"/>
          <w:b/>
          <w:color w:val="auto"/>
          <w:sz w:val="32"/>
          <w:szCs w:val="32"/>
        </w:rPr>
      </w:pPr>
      <w:r>
        <w:rPr>
          <w:rFonts w:hint="eastAsia" w:ascii="方正黑体_GBK" w:hAnsi="方正黑体_GBK" w:eastAsia="方正黑体_GBK" w:cs="方正黑体_GBK"/>
          <w:b/>
          <w:color w:val="auto"/>
          <w:sz w:val="32"/>
          <w:szCs w:val="32"/>
          <w:lang w:val="en-US" w:eastAsia="zh-CN"/>
        </w:rPr>
        <w:t>六</w:t>
      </w:r>
      <w:r>
        <w:rPr>
          <w:rFonts w:hint="eastAsia" w:ascii="方正黑体_GBK" w:hAnsi="方正黑体_GBK" w:eastAsia="方正黑体_GBK" w:cs="方正黑体_GBK"/>
          <w:b/>
          <w:color w:val="auto"/>
          <w:sz w:val="32"/>
          <w:szCs w:val="32"/>
        </w:rPr>
        <w:t>、投标文件要求</w:t>
      </w:r>
    </w:p>
    <w:p w14:paraId="63AB632A">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（一）投标文件组成：</w:t>
      </w:r>
    </w:p>
    <w:p w14:paraId="2A9E7ABD">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1、投标报价函（需加盖公司鲜章及法人签章）；</w:t>
      </w:r>
    </w:p>
    <w:p w14:paraId="69B751DD">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lang w:eastAsia="zh-CN"/>
        </w:rPr>
        <w:t>有效公司营业执照复印件（需加盖公司鲜章）；</w:t>
      </w:r>
    </w:p>
    <w:p w14:paraId="290E5609">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lang w:eastAsia="zh-CN"/>
        </w:rPr>
        <w:t>、有效公司资质证书复印件（需加盖公司鲜章）；</w:t>
      </w:r>
    </w:p>
    <w:p w14:paraId="687F9A31">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lang w:eastAsia="zh-CN"/>
        </w:rPr>
        <w:t>、授权委托书（加盖公司鲜章）；</w:t>
      </w:r>
    </w:p>
    <w:p w14:paraId="45B7AB65">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5、承诺书（加盖公司鲜章）；</w:t>
      </w:r>
    </w:p>
    <w:p w14:paraId="32B3A771">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（二）投标文件制作</w:t>
      </w:r>
    </w:p>
    <w:p w14:paraId="097ED44E">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1、各投标人应当按要求编制投标文件，并对</w:t>
      </w:r>
      <w:r>
        <w:rPr>
          <w:rFonts w:hint="eastAsia" w:ascii="方正仿宋_GBK" w:hAnsi="方正仿宋_GBK" w:eastAsia="方正仿宋_GBK" w:cs="方正仿宋_GBK"/>
          <w:color w:val="auto"/>
          <w:sz w:val="32"/>
          <w:szCs w:val="32"/>
          <w:lang w:val="en-US" w:eastAsia="zh-CN"/>
        </w:rPr>
        <w:t>投标</w:t>
      </w:r>
      <w:r>
        <w:rPr>
          <w:rFonts w:hint="eastAsia" w:ascii="方正仿宋_GBK" w:hAnsi="方正仿宋_GBK" w:eastAsia="方正仿宋_GBK" w:cs="方正仿宋_GBK"/>
          <w:color w:val="auto"/>
          <w:sz w:val="32"/>
          <w:szCs w:val="32"/>
        </w:rPr>
        <w:t>文件提出的要求和条件作出实质性响应，纸质文件原则上采用软面订本，同时应编制完整的页码、目录。响应文件</w:t>
      </w:r>
      <w:r>
        <w:rPr>
          <w:rFonts w:hint="eastAsia" w:ascii="方正仿宋_GBK" w:hAnsi="方正仿宋_GBK" w:eastAsia="方正仿宋_GBK" w:cs="方正仿宋_GBK"/>
          <w:b/>
          <w:color w:val="auto"/>
          <w:sz w:val="32"/>
          <w:szCs w:val="32"/>
          <w:u w:val="single"/>
        </w:rPr>
        <w:t>一式二份</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b/>
          <w:color w:val="auto"/>
          <w:sz w:val="32"/>
          <w:szCs w:val="32"/>
        </w:rPr>
        <w:t>两份响应文件应保持内容一致</w:t>
      </w:r>
      <w:r>
        <w:rPr>
          <w:rFonts w:hint="eastAsia" w:ascii="方正仿宋_GBK" w:hAnsi="方正仿宋_GBK" w:eastAsia="方正仿宋_GBK" w:cs="方正仿宋_GBK"/>
          <w:color w:val="auto"/>
          <w:sz w:val="32"/>
          <w:szCs w:val="32"/>
        </w:rPr>
        <w:t>，如投标人两份投标文件不一致，将按有利于招标人的一份投标文件进行评标）</w:t>
      </w:r>
      <w:r>
        <w:rPr>
          <w:rFonts w:hint="eastAsia" w:ascii="方正仿宋_GBK" w:hAnsi="方正仿宋_GBK" w:eastAsia="方正仿宋_GBK" w:cs="方正仿宋_GBK"/>
          <w:color w:val="auto"/>
          <w:sz w:val="32"/>
          <w:szCs w:val="32"/>
          <w:lang w:eastAsia="zh-CN"/>
        </w:rPr>
        <w:t>。</w:t>
      </w:r>
    </w:p>
    <w:p w14:paraId="1E647C54">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2、投标文件应采用档案袋密封，封皮上注明“项目名称”、“投标人名称”字样，档案袋的封口应加盖公章或法人授权代表签字。</w:t>
      </w:r>
    </w:p>
    <w:p w14:paraId="32407341">
      <w:pPr>
        <w:spacing w:line="580" w:lineRule="exact"/>
        <w:ind w:firstLine="640" w:firstLineChars="20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七、投标文件的递交</w:t>
      </w:r>
    </w:p>
    <w:p w14:paraId="6E6C9310">
      <w:pPr>
        <w:spacing w:line="580" w:lineRule="exact"/>
        <w:ind w:firstLine="640" w:firstLineChars="200"/>
        <w:rPr>
          <w:rFonts w:ascii="方正仿宋_GBK" w:hAnsi="Times New Roman" w:eastAsia="方正仿宋_GBK" w:cs="Times New Roman"/>
          <w:color w:val="auto"/>
          <w:sz w:val="32"/>
          <w:szCs w:val="32"/>
        </w:rPr>
      </w:pPr>
      <w:r>
        <w:rPr>
          <w:rFonts w:hint="eastAsia" w:ascii="方正仿宋_GBK" w:hAnsi="Times New Roman" w:eastAsia="方正仿宋_GBK" w:cs="Times New Roman"/>
          <w:color w:val="auto"/>
          <w:sz w:val="32"/>
          <w:szCs w:val="32"/>
        </w:rPr>
        <w:t>（一）投标文件的递交时间：详见谈判公告。</w:t>
      </w:r>
    </w:p>
    <w:p w14:paraId="05F58D09">
      <w:pPr>
        <w:spacing w:line="580" w:lineRule="exact"/>
        <w:ind w:firstLine="640" w:firstLineChars="200"/>
        <w:rPr>
          <w:rFonts w:ascii="方正仿宋_GBK" w:hAnsi="Times New Roman" w:eastAsia="方正仿宋_GBK" w:cs="Times New Roman"/>
          <w:color w:val="auto"/>
          <w:sz w:val="32"/>
          <w:szCs w:val="32"/>
        </w:rPr>
      </w:pPr>
      <w:r>
        <w:rPr>
          <w:rFonts w:hint="eastAsia" w:ascii="方正仿宋_GBK" w:hAnsi="Times New Roman" w:eastAsia="方正仿宋_GBK" w:cs="Times New Roman"/>
          <w:color w:val="auto"/>
          <w:sz w:val="32"/>
          <w:szCs w:val="32"/>
        </w:rPr>
        <w:t>（二）递交地点</w:t>
      </w:r>
      <w:r>
        <w:rPr>
          <w:rFonts w:ascii="方正仿宋_GBK" w:hAnsi="Times New Roman" w:eastAsia="方正仿宋_GBK" w:cs="Times New Roman"/>
          <w:color w:val="auto"/>
          <w:sz w:val="32"/>
          <w:szCs w:val="32"/>
        </w:rPr>
        <w:t>：</w:t>
      </w:r>
      <w:r>
        <w:rPr>
          <w:rFonts w:hint="eastAsia" w:ascii="方正仿宋_GBK" w:hAnsi="Times New Roman" w:eastAsia="方正仿宋_GBK" w:cs="Times New Roman"/>
          <w:color w:val="auto"/>
          <w:sz w:val="32"/>
          <w:szCs w:val="32"/>
        </w:rPr>
        <w:t>重庆市九龙坡区二郎街道融堃</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rPr>
        <w:t>彩云里</w:t>
      </w:r>
      <w:r>
        <w:rPr>
          <w:rFonts w:hint="eastAsia" w:ascii="方正仿宋_GBK" w:hAnsi="Times New Roman" w:eastAsia="方正仿宋_GBK" w:cs="Times New Roman"/>
          <w:color w:val="auto"/>
          <w:sz w:val="32"/>
          <w:szCs w:val="32"/>
        </w:rPr>
        <w:t>16楼。</w:t>
      </w:r>
    </w:p>
    <w:p w14:paraId="4175C90B">
      <w:pPr>
        <w:spacing w:line="580" w:lineRule="exact"/>
        <w:ind w:firstLine="640" w:firstLineChars="200"/>
        <w:rPr>
          <w:rFonts w:ascii="方正仿宋_GBK" w:hAnsi="Times New Roman" w:eastAsia="方正仿宋_GBK" w:cs="Times New Roman"/>
          <w:color w:val="auto"/>
          <w:sz w:val="32"/>
          <w:szCs w:val="32"/>
        </w:rPr>
      </w:pPr>
      <w:r>
        <w:rPr>
          <w:rFonts w:hint="eastAsia" w:ascii="方正仿宋_GBK" w:hAnsi="Times New Roman" w:eastAsia="方正仿宋_GBK" w:cs="Times New Roman"/>
          <w:color w:val="auto"/>
          <w:sz w:val="32"/>
          <w:szCs w:val="32"/>
        </w:rPr>
        <w:t>（三）投标截止时间：详见谈判公告；</w:t>
      </w:r>
    </w:p>
    <w:p w14:paraId="1FFFC12B">
      <w:pPr>
        <w:spacing w:line="580" w:lineRule="exact"/>
        <w:ind w:firstLine="1558" w:firstLineChars="487"/>
        <w:rPr>
          <w:rFonts w:ascii="方正仿宋_GBK" w:hAnsi="Times New Roman" w:eastAsia="方正仿宋_GBK" w:cs="Times New Roman"/>
          <w:color w:val="auto"/>
          <w:sz w:val="32"/>
          <w:szCs w:val="32"/>
        </w:rPr>
      </w:pPr>
      <w:r>
        <w:rPr>
          <w:rFonts w:hint="eastAsia" w:ascii="方正仿宋_GBK" w:hAnsi="Times New Roman" w:eastAsia="方正仿宋_GBK" w:cs="Times New Roman"/>
          <w:color w:val="auto"/>
          <w:sz w:val="32"/>
          <w:szCs w:val="32"/>
        </w:rPr>
        <w:t>开标时间：同投标截止时间。</w:t>
      </w:r>
    </w:p>
    <w:p w14:paraId="394FF71C">
      <w:pPr>
        <w:spacing w:line="580" w:lineRule="exact"/>
        <w:ind w:firstLine="640" w:firstLineChars="200"/>
        <w:rPr>
          <w:rFonts w:ascii="方正仿宋_GBK" w:hAnsi="Times New Roman" w:eastAsia="方正仿宋_GBK" w:cs="Times New Roman"/>
          <w:color w:val="auto"/>
          <w:sz w:val="32"/>
          <w:szCs w:val="32"/>
        </w:rPr>
      </w:pPr>
      <w:r>
        <w:rPr>
          <w:rFonts w:hint="eastAsia" w:ascii="方正仿宋_GBK" w:hAnsi="Times New Roman" w:eastAsia="方正仿宋_GBK" w:cs="Times New Roman"/>
          <w:color w:val="auto"/>
          <w:sz w:val="32"/>
          <w:szCs w:val="32"/>
        </w:rPr>
        <w:t>（四）</w:t>
      </w:r>
      <w:r>
        <w:rPr>
          <w:rFonts w:hint="eastAsia" w:ascii="方正仿宋_GBK" w:hAnsi="Times New Roman" w:eastAsia="方正仿宋_GBK" w:cs="Times New Roman"/>
          <w:b/>
          <w:color w:val="auto"/>
          <w:sz w:val="32"/>
          <w:szCs w:val="32"/>
        </w:rPr>
        <w:t>投标截止时间后送达的投标文件招标人不予受理；</w:t>
      </w:r>
    </w:p>
    <w:p w14:paraId="130882A4">
      <w:pPr>
        <w:spacing w:line="580" w:lineRule="exact"/>
        <w:ind w:firstLine="640" w:firstLineChars="200"/>
        <w:rPr>
          <w:rFonts w:ascii="方正仿宋_GBK" w:hAnsi="Times New Roman" w:eastAsia="方正仿宋_GBK" w:cs="Times New Roman"/>
          <w:color w:val="auto"/>
          <w:sz w:val="32"/>
          <w:szCs w:val="32"/>
        </w:rPr>
      </w:pPr>
      <w:r>
        <w:rPr>
          <w:rFonts w:hint="eastAsia" w:ascii="方正仿宋_GBK" w:hAnsi="Times New Roman" w:eastAsia="方正仿宋_GBK" w:cs="Times New Roman"/>
          <w:color w:val="auto"/>
          <w:sz w:val="32"/>
          <w:szCs w:val="32"/>
        </w:rPr>
        <w:t>（五）谈判参与人员</w:t>
      </w:r>
    </w:p>
    <w:p w14:paraId="328A9722">
      <w:pPr>
        <w:spacing w:line="580" w:lineRule="exact"/>
        <w:ind w:firstLine="643" w:firstLineChars="200"/>
        <w:rPr>
          <w:rFonts w:ascii="方正仿宋_GBK" w:hAnsi="Times New Roman" w:eastAsia="方正仿宋_GBK" w:cs="Times New Roman"/>
          <w:b/>
          <w:color w:val="auto"/>
          <w:sz w:val="32"/>
          <w:szCs w:val="32"/>
        </w:rPr>
      </w:pPr>
      <w:r>
        <w:rPr>
          <w:rFonts w:hint="eastAsia" w:ascii="方正仿宋_GBK" w:hAnsi="Times New Roman" w:eastAsia="方正仿宋_GBK" w:cs="Times New Roman"/>
          <w:b/>
          <w:color w:val="auto"/>
          <w:sz w:val="32"/>
          <w:szCs w:val="32"/>
        </w:rPr>
        <w:t>1</w:t>
      </w:r>
      <w:r>
        <w:rPr>
          <w:rFonts w:ascii="方正仿宋_GBK" w:hAnsi="Times New Roman" w:eastAsia="方正仿宋_GBK" w:cs="Times New Roman"/>
          <w:b/>
          <w:color w:val="auto"/>
          <w:sz w:val="32"/>
          <w:szCs w:val="32"/>
        </w:rPr>
        <w:t>.</w:t>
      </w:r>
      <w:r>
        <w:rPr>
          <w:rFonts w:hint="eastAsia" w:ascii="方正仿宋_GBK" w:hAnsi="Times New Roman" w:eastAsia="方正仿宋_GBK" w:cs="Times New Roman"/>
          <w:b/>
          <w:color w:val="auto"/>
          <w:sz w:val="32"/>
          <w:szCs w:val="32"/>
        </w:rPr>
        <w:t>收到邀请书的投标人。未收到邀请的投标文件，招标人将拒绝接收。</w:t>
      </w:r>
    </w:p>
    <w:p w14:paraId="08E79D20">
      <w:pPr>
        <w:spacing w:line="580" w:lineRule="exact"/>
        <w:ind w:firstLine="640" w:firstLineChars="200"/>
        <w:rPr>
          <w:rFonts w:ascii="方正仿宋_GBK" w:hAnsi="Times New Roman" w:eastAsia="方正仿宋_GBK" w:cs="Times New Roman"/>
          <w:color w:val="auto"/>
          <w:sz w:val="32"/>
          <w:szCs w:val="32"/>
        </w:rPr>
      </w:pPr>
      <w:r>
        <w:rPr>
          <w:rFonts w:hint="eastAsia" w:ascii="方正仿宋_GBK" w:hAnsi="Times New Roman" w:eastAsia="方正仿宋_GBK" w:cs="Times New Roman"/>
          <w:color w:val="auto"/>
          <w:sz w:val="32"/>
          <w:szCs w:val="32"/>
        </w:rPr>
        <w:t>2</w:t>
      </w:r>
      <w:r>
        <w:rPr>
          <w:rFonts w:ascii="方正仿宋_GBK" w:hAnsi="Times New Roman" w:eastAsia="方正仿宋_GBK" w:cs="Times New Roman"/>
          <w:color w:val="auto"/>
          <w:sz w:val="32"/>
          <w:szCs w:val="32"/>
        </w:rPr>
        <w:t>.</w:t>
      </w:r>
      <w:r>
        <w:rPr>
          <w:rFonts w:hint="eastAsia" w:ascii="方正仿宋_GBK" w:hAnsi="Times New Roman" w:eastAsia="方正仿宋_GBK" w:cs="Times New Roman"/>
          <w:color w:val="auto"/>
          <w:sz w:val="32"/>
          <w:szCs w:val="32"/>
        </w:rPr>
        <w:t>各投标人应当派1名代表参与，至少1人应为法定代表人或具有法定代表人授权委托书的授权代表。</w:t>
      </w:r>
    </w:p>
    <w:p w14:paraId="3C9A82DB">
      <w:pPr>
        <w:keepNext w:val="0"/>
        <w:keepLines w:val="0"/>
        <w:pageBreakBefore w:val="0"/>
        <w:kinsoku/>
        <w:wordWrap/>
        <w:overflowPunct/>
        <w:topLinePunct w:val="0"/>
        <w:autoSpaceDE/>
        <w:autoSpaceDN/>
        <w:bidi w:val="0"/>
        <w:adjustRightInd/>
        <w:spacing w:line="594" w:lineRule="exact"/>
        <w:ind w:left="0" w:firstLine="643" w:firstLineChars="200"/>
        <w:jc w:val="both"/>
        <w:textAlignment w:val="auto"/>
        <w:rPr>
          <w:rFonts w:hint="eastAsia" w:ascii="方正黑体_GBK" w:hAnsi="方正黑体_GBK" w:eastAsia="方正黑体_GBK" w:cs="方正黑体_GBK"/>
          <w:b/>
          <w:color w:val="auto"/>
          <w:sz w:val="32"/>
          <w:szCs w:val="32"/>
        </w:rPr>
      </w:pPr>
      <w:r>
        <w:rPr>
          <w:rFonts w:hint="eastAsia" w:ascii="方正黑体_GBK" w:hAnsi="方正黑体_GBK" w:eastAsia="方正黑体_GBK" w:cs="方正黑体_GBK"/>
          <w:b/>
          <w:color w:val="auto"/>
          <w:sz w:val="32"/>
          <w:szCs w:val="32"/>
          <w:lang w:val="en-US" w:eastAsia="zh-CN"/>
        </w:rPr>
        <w:t>八</w:t>
      </w:r>
      <w:r>
        <w:rPr>
          <w:rFonts w:hint="eastAsia" w:ascii="方正黑体_GBK" w:hAnsi="方正黑体_GBK" w:eastAsia="方正黑体_GBK" w:cs="方正黑体_GBK"/>
          <w:b/>
          <w:color w:val="auto"/>
          <w:sz w:val="32"/>
          <w:szCs w:val="32"/>
        </w:rPr>
        <w:t>、</w:t>
      </w:r>
      <w:r>
        <w:rPr>
          <w:rFonts w:hint="eastAsia" w:ascii="方正黑体_GBK" w:hAnsi="方正黑体_GBK" w:eastAsia="方正黑体_GBK" w:cs="方正黑体_GBK"/>
          <w:b/>
          <w:color w:val="auto"/>
          <w:sz w:val="32"/>
          <w:szCs w:val="32"/>
          <w:lang w:val="en-US" w:eastAsia="zh-CN"/>
        </w:rPr>
        <w:t>谈判</w:t>
      </w:r>
      <w:r>
        <w:rPr>
          <w:rFonts w:hint="eastAsia" w:ascii="方正黑体_GBK" w:hAnsi="方正黑体_GBK" w:eastAsia="方正黑体_GBK" w:cs="方正黑体_GBK"/>
          <w:b/>
          <w:color w:val="auto"/>
          <w:sz w:val="32"/>
          <w:szCs w:val="32"/>
        </w:rPr>
        <w:t>程序及方法</w:t>
      </w:r>
    </w:p>
    <w:p w14:paraId="7DC9B436">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bCs/>
          <w:snapToGrid w:val="0"/>
          <w:color w:val="auto"/>
          <w:sz w:val="32"/>
          <w:szCs w:val="32"/>
        </w:rPr>
      </w:pPr>
      <w:r>
        <w:rPr>
          <w:rFonts w:hint="eastAsia" w:ascii="方正仿宋_GBK" w:hAnsi="方正仿宋_GBK" w:eastAsia="方正仿宋_GBK" w:cs="方正仿宋_GBK"/>
          <w:bCs/>
          <w:snapToGrid w:val="0"/>
          <w:color w:val="auto"/>
          <w:sz w:val="32"/>
          <w:szCs w:val="32"/>
        </w:rPr>
        <w:t>（</w:t>
      </w:r>
      <w:r>
        <w:rPr>
          <w:rFonts w:hint="eastAsia" w:ascii="方正仿宋_GBK" w:hAnsi="方正仿宋_GBK" w:eastAsia="方正仿宋_GBK" w:cs="方正仿宋_GBK"/>
          <w:bCs/>
          <w:snapToGrid w:val="0"/>
          <w:color w:val="auto"/>
          <w:sz w:val="32"/>
          <w:szCs w:val="32"/>
          <w:lang w:val="en-US" w:eastAsia="zh-CN"/>
        </w:rPr>
        <w:t>一</w:t>
      </w:r>
      <w:r>
        <w:rPr>
          <w:rFonts w:hint="eastAsia" w:ascii="方正仿宋_GBK" w:hAnsi="方正仿宋_GBK" w:eastAsia="方正仿宋_GBK" w:cs="方正仿宋_GBK"/>
          <w:bCs/>
          <w:snapToGrid w:val="0"/>
          <w:color w:val="auto"/>
          <w:sz w:val="32"/>
          <w:szCs w:val="32"/>
        </w:rPr>
        <w:t>）</w:t>
      </w:r>
      <w:r>
        <w:rPr>
          <w:rFonts w:hint="eastAsia" w:ascii="方正仿宋_GBK" w:hAnsi="方正仿宋_GBK" w:eastAsia="方正仿宋_GBK" w:cs="方正仿宋_GBK"/>
          <w:bCs/>
          <w:snapToGrid w:val="0"/>
          <w:color w:val="auto"/>
          <w:sz w:val="32"/>
          <w:szCs w:val="32"/>
          <w:lang w:val="en-US" w:eastAsia="zh-CN"/>
        </w:rPr>
        <w:t>谈判</w:t>
      </w:r>
      <w:r>
        <w:rPr>
          <w:rFonts w:hint="eastAsia" w:ascii="方正仿宋_GBK" w:hAnsi="方正仿宋_GBK" w:eastAsia="方正仿宋_GBK" w:cs="方正仿宋_GBK"/>
          <w:bCs/>
          <w:snapToGrid w:val="0"/>
          <w:color w:val="auto"/>
          <w:sz w:val="32"/>
          <w:szCs w:val="32"/>
        </w:rPr>
        <w:t>程序</w:t>
      </w:r>
    </w:p>
    <w:p w14:paraId="5B90DEC7">
      <w:pPr>
        <w:keepNext w:val="0"/>
        <w:keepLines w:val="0"/>
        <w:pageBreakBefore w:val="0"/>
        <w:kinsoku/>
        <w:wordWrap/>
        <w:overflowPunct/>
        <w:topLinePunct w:val="0"/>
        <w:autoSpaceDE/>
        <w:autoSpaceDN/>
        <w:bidi w:val="0"/>
        <w:adjustRightInd/>
        <w:spacing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1.投标人签到。</w:t>
      </w:r>
    </w:p>
    <w:p w14:paraId="37B29331">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2.宣布谈判纪律，公布在投标截止时间前递交投标文件的投标人名称。</w:t>
      </w:r>
    </w:p>
    <w:p w14:paraId="3389C565">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3.检查投标文件的密封情况。</w:t>
      </w:r>
    </w:p>
    <w:p w14:paraId="522919DE">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4.随机开启投标文件，公布投标人名称、投标报价及其他内容，记录在表格上并由投标人确认签字。因投标人原因未签字确认，视为默认开标记录。</w:t>
      </w:r>
    </w:p>
    <w:p w14:paraId="6812A7F3">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5.评标小组对所有投标人投标总价进行评审。总报价高于最高限价的，不进入报价排序；总报价低于最高限价的按报价</w:t>
      </w:r>
      <w:r>
        <w:rPr>
          <w:rFonts w:hint="eastAsia" w:ascii="方正仿宋_GBK" w:hAnsi="方正仿宋_GBK" w:eastAsia="方正仿宋_GBK" w:cs="方正仿宋_GBK"/>
          <w:b/>
          <w:color w:val="auto"/>
          <w:sz w:val="32"/>
          <w:szCs w:val="32"/>
        </w:rPr>
        <w:t>由低到高</w:t>
      </w:r>
      <w:r>
        <w:rPr>
          <w:rFonts w:hint="eastAsia" w:ascii="方正仿宋_GBK" w:hAnsi="方正仿宋_GBK" w:eastAsia="方正仿宋_GBK" w:cs="方正仿宋_GBK"/>
          <w:color w:val="auto"/>
          <w:sz w:val="32"/>
          <w:szCs w:val="32"/>
        </w:rPr>
        <w:t>的顺序进行排序。</w:t>
      </w:r>
    </w:p>
    <w:p w14:paraId="33853676">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6.评标小组按前述报价排序由低到高依次对投标人的资格条件进行资格性、符合性审查。</w:t>
      </w:r>
    </w:p>
    <w:p w14:paraId="31F5F9DA">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7.若排名第一的投标人资格性、符合性审查合格，则排名第一的投标人为中标人；若排名第一的投标人资格性、符合性审查不合格，且排名第二的投标人资格性、符合性审查合格，则排名第二的投标人为中标人，以此类推，直至选出合格中标人。</w:t>
      </w:r>
    </w:p>
    <w:p w14:paraId="63497152">
      <w:pPr>
        <w:keepNext w:val="0"/>
        <w:keepLines w:val="0"/>
        <w:pageBreakBefore w:val="0"/>
        <w:kinsoku/>
        <w:wordWrap/>
        <w:overflowPunct/>
        <w:topLinePunct w:val="0"/>
        <w:autoSpaceDE/>
        <w:autoSpaceDN/>
        <w:bidi w:val="0"/>
        <w:adjustRightInd/>
        <w:spacing w:line="594" w:lineRule="exact"/>
        <w:ind w:left="0" w:firstLine="643"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注：</w:t>
      </w:r>
      <w:r>
        <w:rPr>
          <w:rFonts w:hint="eastAsia" w:ascii="方正仿宋_GBK" w:hAnsi="方正仿宋_GBK" w:eastAsia="方正仿宋_GBK" w:cs="方正仿宋_GBK"/>
          <w:color w:val="auto"/>
          <w:sz w:val="32"/>
          <w:szCs w:val="32"/>
        </w:rPr>
        <w:t>投标人应按谈判公告规定的时间和地点参加谈判并签到，否则其投标文件不得参与谈判。</w:t>
      </w:r>
    </w:p>
    <w:p w14:paraId="2F1514EC">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（二）谈判方法</w:t>
      </w:r>
    </w:p>
    <w:p w14:paraId="72C25FC9">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（1）评标小组的组建</w:t>
      </w:r>
    </w:p>
    <w:p w14:paraId="3DB465C0">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由招标人按法律法规及相关规定依法组建评标小组。</w:t>
      </w:r>
    </w:p>
    <w:p w14:paraId="1ED1DAF6">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（2）评标办法</w:t>
      </w:r>
    </w:p>
    <w:p w14:paraId="248F4476">
      <w:pPr>
        <w:keepNext w:val="0"/>
        <w:keepLines w:val="0"/>
        <w:pageBreakBefore w:val="0"/>
        <w:kinsoku/>
        <w:wordWrap/>
        <w:overflowPunct/>
        <w:topLinePunct w:val="0"/>
        <w:autoSpaceDE/>
        <w:autoSpaceDN/>
        <w:bidi w:val="0"/>
        <w:adjustRightInd/>
        <w:spacing w:line="594" w:lineRule="exact"/>
        <w:ind w:left="0" w:firstLine="643" w:firstLineChars="200"/>
        <w:jc w:val="both"/>
        <w:textAlignment w:val="auto"/>
        <w:rPr>
          <w:rFonts w:hint="eastAsia" w:ascii="方正仿宋_GBK" w:hAnsi="方正仿宋_GBK" w:eastAsia="方正仿宋_GBK" w:cs="方正仿宋_GBK"/>
          <w:b/>
          <w:color w:val="auto"/>
          <w:sz w:val="32"/>
          <w:szCs w:val="32"/>
          <w:highlight w:val="none"/>
          <w:u w:val="single"/>
        </w:rPr>
      </w:pPr>
      <w:r>
        <w:rPr>
          <w:rFonts w:hint="eastAsia" w:ascii="方正仿宋_GBK" w:hAnsi="方正仿宋_GBK" w:eastAsia="方正仿宋_GBK" w:cs="方正仿宋_GBK"/>
          <w:b/>
          <w:color w:val="auto"/>
          <w:sz w:val="32"/>
          <w:szCs w:val="32"/>
          <w:highlight w:val="none"/>
          <w:u w:val="single"/>
        </w:rPr>
        <w:t>1.本项目采用经评审的最低价法。</w:t>
      </w:r>
    </w:p>
    <w:p w14:paraId="2F61A6FC">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2.评标小组将资格性、符合性审查合格的投标人按报价（不高于最高限价）由低到高排序。</w:t>
      </w:r>
    </w:p>
    <w:p w14:paraId="67F76806">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资格性、符合性审查合格的投标人中，报价最低的为中标人。若出现投标人投标报价一致的，由评标小组按照资质的高低原则排序；若出现投标人资质也一致的，由投标人进行第二次报价，直至报价区分出高低，报价最低的为中标人。</w:t>
      </w:r>
    </w:p>
    <w:p w14:paraId="365CDA0C">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（3）评审标准</w:t>
      </w:r>
    </w:p>
    <w:p w14:paraId="25FFCAAC">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资格性、符合性审查内容：</w:t>
      </w:r>
    </w:p>
    <w:p w14:paraId="0C67CAA2">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1.资格性评审：投标人资格条件、信誉条件等。</w:t>
      </w:r>
    </w:p>
    <w:p w14:paraId="7C758395">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2.符合性评审：投标文件格式、投标文件密封、盖章齐全、报价是否符合谈判文件要求等。</w:t>
      </w:r>
    </w:p>
    <w:p w14:paraId="7D1D6FCD">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资格性、符合性审查中有任何一项不符合要求，其资格性、符合性审查不合格，不得成为中标人。</w:t>
      </w:r>
    </w:p>
    <w:p w14:paraId="797ADC65">
      <w:pPr>
        <w:keepNext w:val="0"/>
        <w:keepLines w:val="0"/>
        <w:pageBreakBefore w:val="0"/>
        <w:kinsoku/>
        <w:wordWrap/>
        <w:overflowPunct/>
        <w:topLinePunct w:val="0"/>
        <w:autoSpaceDE/>
        <w:autoSpaceDN/>
        <w:bidi w:val="0"/>
        <w:adjustRightInd/>
        <w:spacing w:line="594" w:lineRule="exact"/>
        <w:ind w:left="0" w:firstLine="643" w:firstLineChars="200"/>
        <w:jc w:val="both"/>
        <w:textAlignment w:val="auto"/>
        <w:rPr>
          <w:rFonts w:hint="eastAsia" w:ascii="方正黑体_GBK" w:hAnsi="方正黑体_GBK" w:eastAsia="方正黑体_GBK" w:cs="方正黑体_GBK"/>
          <w:b/>
          <w:color w:val="auto"/>
          <w:sz w:val="32"/>
          <w:szCs w:val="32"/>
        </w:rPr>
      </w:pPr>
      <w:r>
        <w:rPr>
          <w:rFonts w:hint="eastAsia" w:ascii="方正黑体_GBK" w:hAnsi="方正黑体_GBK" w:eastAsia="方正黑体_GBK" w:cs="方正黑体_GBK"/>
          <w:b/>
          <w:color w:val="auto"/>
          <w:sz w:val="32"/>
          <w:szCs w:val="32"/>
          <w:lang w:val="en-US" w:eastAsia="zh-CN"/>
        </w:rPr>
        <w:t>九</w:t>
      </w:r>
      <w:r>
        <w:rPr>
          <w:rFonts w:hint="eastAsia" w:ascii="方正黑体_GBK" w:hAnsi="方正黑体_GBK" w:eastAsia="方正黑体_GBK" w:cs="方正黑体_GBK"/>
          <w:b/>
          <w:color w:val="auto"/>
          <w:sz w:val="32"/>
          <w:szCs w:val="32"/>
        </w:rPr>
        <w:t>、中标人的确认</w:t>
      </w:r>
    </w:p>
    <w:p w14:paraId="4727A877">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一）</w:t>
      </w:r>
      <w:r>
        <w:rPr>
          <w:rFonts w:hint="eastAsia" w:ascii="方正仿宋_GBK" w:hAnsi="方正仿宋_GBK" w:eastAsia="方正仿宋_GBK" w:cs="方正仿宋_GBK"/>
          <w:color w:val="auto"/>
          <w:sz w:val="32"/>
          <w:szCs w:val="32"/>
        </w:rPr>
        <w:t>评审小组本着公开、公正、公平的原则，在按照比选标准比选结束后，比选结果在九龙现代产业发展集团网站（http://cqxpgyy.com/index/）上进行公示，公示期3天。</w:t>
      </w:r>
    </w:p>
    <w:p w14:paraId="0DE8D6C7">
      <w:pPr>
        <w:pStyle w:val="13"/>
        <w:keepNext w:val="0"/>
        <w:keepLines w:val="0"/>
        <w:pageBreakBefore w:val="0"/>
        <w:kinsoku/>
        <w:wordWrap/>
        <w:overflowPunct/>
        <w:topLinePunct w:val="0"/>
        <w:autoSpaceDE/>
        <w:autoSpaceDN/>
        <w:bidi w:val="0"/>
        <w:adjustRightInd/>
        <w:spacing w:after="0" w:line="594" w:lineRule="exact"/>
        <w:ind w:left="0" w:leftChars="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（二）若公示期间未收到异议或投诉，招标人将在公示期结束后3日内以书面形式向中标人发出中标通知书。</w:t>
      </w:r>
    </w:p>
    <w:p w14:paraId="0AB21C37">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val="en-US" w:eastAsia="zh-CN"/>
        </w:rPr>
        <w:t>十</w:t>
      </w:r>
      <w:r>
        <w:rPr>
          <w:rFonts w:hint="eastAsia" w:ascii="方正黑体_GBK" w:hAnsi="方正黑体_GBK" w:eastAsia="方正黑体_GBK" w:cs="方正黑体_GBK"/>
          <w:color w:val="auto"/>
          <w:sz w:val="32"/>
          <w:szCs w:val="32"/>
        </w:rPr>
        <w:t>、合同签订</w:t>
      </w:r>
    </w:p>
    <w:p w14:paraId="19920D98">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招标人和中标人应当自中标通知书发出后按中标通知书要求，根据招标文件和中标人的投标文件订立书面合同。中标人无正当理不与招标人签订合同的，招标人取消其中标资格；给招标人造成的损失的，中标人应当赔偿。</w:t>
      </w:r>
    </w:p>
    <w:p w14:paraId="4CF16ACB">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val="en-US" w:eastAsia="zh-CN"/>
        </w:rPr>
        <w:t>十一</w:t>
      </w:r>
      <w:r>
        <w:rPr>
          <w:rFonts w:hint="eastAsia" w:ascii="方正黑体_GBK" w:hAnsi="方正黑体_GBK" w:eastAsia="方正黑体_GBK" w:cs="方正黑体_GBK"/>
          <w:color w:val="auto"/>
          <w:sz w:val="32"/>
          <w:szCs w:val="32"/>
        </w:rPr>
        <w:t>、弃标处理</w:t>
      </w:r>
    </w:p>
    <w:p w14:paraId="0D755657">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（一）在中标公示结束后三日内，中标人未按规定签订合同的，招标人将其列入重庆九龙现代数字科技有限公司信用黑名单，禁止在重庆九龙现代数字科技有限公司承揽相关业务。</w:t>
      </w:r>
    </w:p>
    <w:p w14:paraId="20DB3176">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（二）中标人放弃中标，给招标人造成损失的，应当赔偿，同时招标人将其列入重庆九龙现代数字科技有限公司信用黑名单，禁止在重庆九龙现代数字科技有限公司承揽相关业务。</w:t>
      </w:r>
    </w:p>
    <w:p w14:paraId="32577A83">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（三）中标人放弃或者被取消中标资格时，招标人可按投标人须知第三部分第二条“谈判程序及方法”确定的原则依次序确定中标人，也可以重新组织谈判。</w:t>
      </w:r>
    </w:p>
    <w:p w14:paraId="02A0BAA2">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val="en-US" w:eastAsia="zh-CN"/>
        </w:rPr>
        <w:t>十二</w:t>
      </w:r>
      <w:r>
        <w:rPr>
          <w:rFonts w:hint="eastAsia" w:ascii="方正黑体_GBK" w:hAnsi="方正黑体_GBK" w:eastAsia="方正黑体_GBK" w:cs="方正黑体_GBK"/>
          <w:color w:val="auto"/>
          <w:sz w:val="32"/>
          <w:szCs w:val="32"/>
        </w:rPr>
        <w:t>、重新招标</w:t>
      </w:r>
    </w:p>
    <w:p w14:paraId="114DD6BD">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有下列情形之一的，招标人将重新招标：</w:t>
      </w:r>
    </w:p>
    <w:p w14:paraId="291F2331">
      <w:pPr>
        <w:keepNext w:val="0"/>
        <w:keepLines w:val="0"/>
        <w:pageBreakBefore w:val="0"/>
        <w:numPr>
          <w:ilvl w:val="0"/>
          <w:numId w:val="1"/>
        </w:numPr>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投标截止时间止，投标人少于3个的；</w:t>
      </w:r>
    </w:p>
    <w:p w14:paraId="4D5E1F46">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（二）经评标小组评审后否决所有投标的；</w:t>
      </w:r>
    </w:p>
    <w:p w14:paraId="405F108F">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（三）法律法规规定的其他需重新招标的情形。</w:t>
      </w:r>
    </w:p>
    <w:p w14:paraId="1265B786">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十</w:t>
      </w:r>
      <w:r>
        <w:rPr>
          <w:rFonts w:hint="eastAsia" w:ascii="方正黑体_GBK" w:hAnsi="方正黑体_GBK" w:eastAsia="方正黑体_GBK" w:cs="方正黑体_GBK"/>
          <w:color w:val="auto"/>
          <w:sz w:val="32"/>
          <w:szCs w:val="32"/>
          <w:lang w:val="en-US" w:eastAsia="zh-CN"/>
        </w:rPr>
        <w:t>三</w:t>
      </w:r>
      <w:r>
        <w:rPr>
          <w:rFonts w:hint="eastAsia" w:ascii="方正黑体_GBK" w:hAnsi="方正黑体_GBK" w:eastAsia="方正黑体_GBK" w:cs="方正黑体_GBK"/>
          <w:color w:val="auto"/>
          <w:sz w:val="32"/>
          <w:szCs w:val="32"/>
        </w:rPr>
        <w:t>、其他</w:t>
      </w:r>
    </w:p>
    <w:p w14:paraId="720838EB">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除前文要求外，投标人发生以下条款情况之一时，视为无效投标，其投标文件将被拒绝：</w:t>
      </w:r>
    </w:p>
    <w:p w14:paraId="2EBAC690">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（一）投标人不符合规定的资格条件的；</w:t>
      </w:r>
    </w:p>
    <w:p w14:paraId="75C12BE5">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（二）投标人的法定代表人或其授权代表人未签到参加谈判的；</w:t>
      </w:r>
    </w:p>
    <w:p w14:paraId="3857120D">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（三）法定代表人为同一个人的两个及两个以上法人，母公司、全资子公司及其控股公司参与谈判的；</w:t>
      </w:r>
    </w:p>
    <w:p w14:paraId="00CB18E8">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（四）单位负责人为同一人或者存在直接控股、管理关系的不同投标人；</w:t>
      </w:r>
    </w:p>
    <w:p w14:paraId="77EB9DFA">
      <w:pPr>
        <w:keepNext w:val="0"/>
        <w:keepLines w:val="0"/>
        <w:pageBreakBefore w:val="0"/>
        <w:kinsoku/>
        <w:wordWrap/>
        <w:overflowPunct/>
        <w:topLinePunct w:val="0"/>
        <w:autoSpaceDE/>
        <w:autoSpaceDN/>
        <w:bidi w:val="0"/>
        <w:adjustRightInd/>
        <w:spacing w:line="594"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（五）投标人投标文件内容有与国家现行法律法规相违背的内容，或附有招标人无法接受的条件的。</w:t>
      </w:r>
    </w:p>
    <w:p w14:paraId="4EB6D182">
      <w:pPr>
        <w:rPr>
          <w:rFonts w:hint="eastAsia"/>
          <w:color w:val="auto"/>
        </w:rPr>
      </w:pPr>
    </w:p>
    <w:p w14:paraId="1A0D0626">
      <w:pPr>
        <w:pStyle w:val="13"/>
        <w:rPr>
          <w:rFonts w:hint="eastAsia"/>
          <w:color w:val="auto"/>
        </w:rPr>
      </w:pPr>
    </w:p>
    <w:p w14:paraId="0386F2B4">
      <w:pPr>
        <w:rPr>
          <w:rFonts w:hint="eastAsia"/>
          <w:color w:val="auto"/>
        </w:rPr>
      </w:pPr>
    </w:p>
    <w:p w14:paraId="1163631B">
      <w:pPr>
        <w:pStyle w:val="12"/>
        <w:rPr>
          <w:rFonts w:hint="eastAsia"/>
          <w:color w:val="auto"/>
        </w:rPr>
      </w:pPr>
    </w:p>
    <w:p w14:paraId="711654E0">
      <w:pPr>
        <w:pStyle w:val="12"/>
        <w:rPr>
          <w:rFonts w:hint="eastAsia"/>
          <w:color w:val="auto"/>
        </w:rPr>
      </w:pPr>
    </w:p>
    <w:p w14:paraId="00B4DCEA">
      <w:pPr>
        <w:pStyle w:val="12"/>
        <w:rPr>
          <w:rFonts w:hint="eastAsia"/>
          <w:color w:val="auto"/>
        </w:rPr>
      </w:pPr>
    </w:p>
    <w:p w14:paraId="6FFD5127">
      <w:pPr>
        <w:rPr>
          <w:rFonts w:hint="eastAsia" w:ascii="宋体" w:hAnsi="宋体"/>
          <w:b/>
          <w:color w:val="auto"/>
          <w:sz w:val="28"/>
          <w:szCs w:val="28"/>
        </w:rPr>
      </w:pPr>
    </w:p>
    <w:p w14:paraId="176DD23C">
      <w:pPr>
        <w:rPr>
          <w:rFonts w:hint="eastAsia" w:ascii="宋体" w:hAnsi="宋体"/>
          <w:b/>
          <w:color w:val="auto"/>
          <w:sz w:val="28"/>
          <w:szCs w:val="28"/>
        </w:rPr>
      </w:pPr>
    </w:p>
    <w:p w14:paraId="48961450">
      <w:pPr>
        <w:outlineLvl w:val="0"/>
        <w:rPr>
          <w:rFonts w:hint="eastAsia" w:ascii="宋体" w:hAnsi="宋体"/>
          <w:b/>
          <w:color w:val="auto"/>
          <w:sz w:val="28"/>
          <w:szCs w:val="28"/>
        </w:rPr>
        <w:sectPr>
          <w:pgSz w:w="11906" w:h="16838"/>
          <w:pgMar w:top="1440" w:right="1800" w:bottom="1440" w:left="1800" w:header="851" w:footer="992" w:gutter="0"/>
          <w:cols w:space="425" w:num="1"/>
          <w:docGrid w:type="lines" w:linePitch="312" w:charSpace="0"/>
        </w:sectPr>
      </w:pPr>
    </w:p>
    <w:p w14:paraId="50072BAA">
      <w:pPr>
        <w:outlineLvl w:val="0"/>
        <w:rPr>
          <w:rFonts w:ascii="宋体" w:hAnsi="宋体"/>
          <w:b/>
          <w:color w:val="auto"/>
          <w:sz w:val="28"/>
          <w:szCs w:val="28"/>
        </w:rPr>
      </w:pPr>
      <w:r>
        <w:rPr>
          <w:rFonts w:hint="eastAsia" w:ascii="宋体" w:hAnsi="宋体"/>
          <w:b/>
          <w:color w:val="auto"/>
          <w:sz w:val="28"/>
          <w:szCs w:val="28"/>
        </w:rPr>
        <w:t>附</w:t>
      </w:r>
      <w:r>
        <w:rPr>
          <w:rFonts w:ascii="宋体" w:hAnsi="宋体"/>
          <w:b/>
          <w:color w:val="auto"/>
          <w:sz w:val="28"/>
          <w:szCs w:val="28"/>
        </w:rPr>
        <w:t>件</w:t>
      </w:r>
      <w:r>
        <w:rPr>
          <w:rFonts w:hint="eastAsia" w:ascii="宋体" w:hAnsi="宋体"/>
          <w:b/>
          <w:color w:val="auto"/>
          <w:sz w:val="28"/>
          <w:szCs w:val="28"/>
        </w:rPr>
        <w:t>1</w:t>
      </w:r>
    </w:p>
    <w:p w14:paraId="73FFB349">
      <w:pPr>
        <w:pStyle w:val="2"/>
        <w:jc w:val="center"/>
        <w:rPr>
          <w:rFonts w:ascii="宋体" w:hAnsi="宋体"/>
          <w:color w:val="auto"/>
          <w:sz w:val="28"/>
        </w:rPr>
      </w:pPr>
      <w:bookmarkStart w:id="0" w:name="_Toc224103495"/>
      <w:bookmarkStart w:id="1" w:name="_Toc287607867"/>
      <w:bookmarkStart w:id="2" w:name="_Toc277082643"/>
      <w:bookmarkStart w:id="3" w:name="_Toc369083107"/>
      <w:bookmarkStart w:id="4" w:name="_Toc333246452"/>
      <w:r>
        <w:rPr>
          <w:rFonts w:hint="eastAsia" w:ascii="宋体" w:hAnsi="宋体"/>
          <w:color w:val="auto"/>
          <w:sz w:val="28"/>
        </w:rPr>
        <w:t>（一）投标函</w:t>
      </w:r>
      <w:bookmarkEnd w:id="0"/>
      <w:bookmarkEnd w:id="1"/>
      <w:bookmarkEnd w:id="2"/>
      <w:bookmarkEnd w:id="3"/>
      <w:bookmarkEnd w:id="4"/>
    </w:p>
    <w:p w14:paraId="092C3D7C">
      <w:pPr>
        <w:tabs>
          <w:tab w:val="left" w:pos="2640"/>
        </w:tabs>
        <w:autoSpaceDE w:val="0"/>
        <w:autoSpaceDN w:val="0"/>
        <w:adjustRightInd w:val="0"/>
        <w:spacing w:line="220" w:lineRule="exact"/>
        <w:ind w:left="120" w:right="-20" w:firstLine="210" w:firstLineChars="100"/>
        <w:rPr>
          <w:rFonts w:ascii="宋体" w:hAnsi="宋体" w:cs="MingLiU"/>
          <w:snapToGrid w:val="0"/>
          <w:color w:val="auto"/>
          <w:szCs w:val="21"/>
        </w:rPr>
      </w:pPr>
      <w:r>
        <w:rPr>
          <w:rFonts w:ascii="宋体" w:hAnsi="宋体"/>
          <w:snapToGrid w:val="0"/>
          <w:color w:val="auto"/>
          <w:szCs w:val="21"/>
          <w:u w:val="single"/>
        </w:rPr>
        <w:tab/>
      </w:r>
      <w:r>
        <w:rPr>
          <w:rFonts w:hint="eastAsia" w:ascii="宋体" w:hAnsi="宋体" w:cs="MingLiU"/>
          <w:snapToGrid w:val="0"/>
          <w:color w:val="auto"/>
          <w:szCs w:val="21"/>
        </w:rPr>
        <w:t>（招标人名称）：</w:t>
      </w:r>
    </w:p>
    <w:p w14:paraId="5F1D06DD">
      <w:pPr>
        <w:autoSpaceDE w:val="0"/>
        <w:autoSpaceDN w:val="0"/>
        <w:adjustRightInd w:val="0"/>
        <w:spacing w:before="15" w:line="140" w:lineRule="exact"/>
        <w:rPr>
          <w:rFonts w:ascii="宋体" w:hAnsi="宋体" w:cs="MingLiU"/>
          <w:snapToGrid w:val="0"/>
          <w:color w:val="auto"/>
          <w:sz w:val="14"/>
          <w:szCs w:val="14"/>
        </w:rPr>
      </w:pPr>
    </w:p>
    <w:p w14:paraId="2048CF72">
      <w:pPr>
        <w:autoSpaceDE w:val="0"/>
        <w:autoSpaceDN w:val="0"/>
        <w:adjustRightInd w:val="0"/>
        <w:spacing w:line="200" w:lineRule="exact"/>
        <w:rPr>
          <w:rFonts w:ascii="宋体" w:hAnsi="宋体" w:cs="MingLiU"/>
          <w:snapToGrid w:val="0"/>
          <w:color w:val="auto"/>
          <w:sz w:val="20"/>
          <w:szCs w:val="20"/>
        </w:rPr>
      </w:pPr>
    </w:p>
    <w:p w14:paraId="3E96A483">
      <w:pPr>
        <w:autoSpaceDE w:val="0"/>
        <w:autoSpaceDN w:val="0"/>
        <w:adjustRightInd w:val="0"/>
        <w:spacing w:line="200" w:lineRule="exact"/>
        <w:rPr>
          <w:rFonts w:ascii="宋体" w:hAnsi="宋体" w:cs="MingLiU"/>
          <w:snapToGrid w:val="0"/>
          <w:color w:val="auto"/>
          <w:sz w:val="20"/>
          <w:szCs w:val="20"/>
        </w:rPr>
      </w:pPr>
    </w:p>
    <w:p w14:paraId="042A817D">
      <w:pPr>
        <w:tabs>
          <w:tab w:val="left" w:pos="2655"/>
          <w:tab w:val="left" w:pos="2760"/>
          <w:tab w:val="left" w:pos="4500"/>
          <w:tab w:val="left" w:pos="5715"/>
          <w:tab w:val="left" w:pos="6945"/>
          <w:tab w:val="left" w:pos="8505"/>
        </w:tabs>
        <w:autoSpaceDE w:val="0"/>
        <w:autoSpaceDN w:val="0"/>
        <w:adjustRightInd w:val="0"/>
        <w:spacing w:line="354" w:lineRule="auto"/>
        <w:ind w:left="120" w:leftChars="57" w:right="94" w:firstLine="420" w:firstLineChars="200"/>
        <w:rPr>
          <w:rFonts w:ascii="宋体" w:hAnsi="宋体" w:cs="MingLiU"/>
          <w:snapToGrid w:val="0"/>
          <w:color w:val="auto"/>
          <w:szCs w:val="21"/>
        </w:rPr>
      </w:pPr>
      <w:r>
        <w:rPr>
          <w:rFonts w:ascii="宋体" w:hAnsi="宋体"/>
          <w:snapToGrid w:val="0"/>
          <w:color w:val="auto"/>
          <w:szCs w:val="21"/>
        </w:rPr>
        <w:t>1</w:t>
      </w:r>
      <w:r>
        <w:rPr>
          <w:rFonts w:hint="eastAsia" w:ascii="宋体" w:hAnsi="宋体" w:cs="MingLiU"/>
          <w:snapToGrid w:val="0"/>
          <w:color w:val="auto"/>
          <w:szCs w:val="21"/>
        </w:rPr>
        <w:t>．我方已仔细研究了</w:t>
      </w:r>
      <w:r>
        <w:rPr>
          <w:rFonts w:hint="eastAsia" w:ascii="宋体" w:hAnsi="宋体" w:cs="MingLiU"/>
          <w:snapToGrid w:val="0"/>
          <w:color w:val="auto"/>
          <w:szCs w:val="21"/>
          <w:u w:val="single"/>
          <w:lang w:val="en-US" w:eastAsia="zh-CN"/>
        </w:rPr>
        <w:t xml:space="preserve">           </w:t>
      </w:r>
      <w:r>
        <w:rPr>
          <w:rFonts w:ascii="宋体" w:hAnsi="宋体"/>
          <w:snapToGrid w:val="0"/>
          <w:color w:val="auto"/>
          <w:szCs w:val="21"/>
          <w:u w:val="single"/>
        </w:rPr>
        <w:tab/>
      </w:r>
      <w:r>
        <w:rPr>
          <w:rFonts w:hint="eastAsia" w:ascii="宋体" w:hAnsi="宋体" w:cs="MingLiU"/>
          <w:snapToGrid w:val="0"/>
          <w:color w:val="auto"/>
          <w:szCs w:val="21"/>
        </w:rPr>
        <w:t>（项目名称）招标文件的全部内容，愿意以人民币</w:t>
      </w:r>
      <w:r>
        <w:rPr>
          <w:rFonts w:hint="eastAsia" w:ascii="宋体" w:hAnsi="宋体" w:cs="MingLiU"/>
          <w:snapToGrid w:val="0"/>
          <w:color w:val="auto"/>
          <w:szCs w:val="21"/>
          <w:u w:val="single"/>
          <w:lang w:val="en-US" w:eastAsia="zh-CN"/>
        </w:rPr>
        <w:t xml:space="preserve">            </w:t>
      </w:r>
      <w:r>
        <w:rPr>
          <w:rFonts w:hint="eastAsia" w:ascii="宋体" w:hAnsi="宋体" w:cs="MingLiU"/>
          <w:snapToGrid w:val="0"/>
          <w:color w:val="auto"/>
          <w:szCs w:val="21"/>
        </w:rPr>
        <w:t>元（大写：</w:t>
      </w:r>
      <w:r>
        <w:rPr>
          <w:rFonts w:hint="eastAsia" w:ascii="宋体" w:hAnsi="宋体" w:cs="MingLiU"/>
          <w:snapToGrid w:val="0"/>
          <w:color w:val="auto"/>
          <w:szCs w:val="21"/>
          <w:u w:val="single"/>
          <w:lang w:val="en-US" w:eastAsia="zh-CN"/>
        </w:rPr>
        <w:t xml:space="preserve">              </w:t>
      </w:r>
      <w:r>
        <w:rPr>
          <w:rFonts w:hint="eastAsia" w:ascii="宋体" w:hAnsi="宋体" w:cs="MingLiU"/>
          <w:snapToGrid w:val="0"/>
          <w:color w:val="auto"/>
          <w:szCs w:val="21"/>
        </w:rPr>
        <w:t>）的总</w:t>
      </w:r>
      <w:r>
        <w:rPr>
          <w:rFonts w:ascii="宋体" w:hAnsi="宋体" w:cs="MingLiU"/>
          <w:snapToGrid w:val="0"/>
          <w:color w:val="auto"/>
          <w:szCs w:val="21"/>
        </w:rPr>
        <w:t>价</w:t>
      </w:r>
      <w:r>
        <w:rPr>
          <w:rFonts w:hint="eastAsia" w:ascii="宋体" w:hAnsi="宋体" w:cs="MingLiU"/>
          <w:snapToGrid w:val="0"/>
          <w:color w:val="auto"/>
          <w:szCs w:val="21"/>
        </w:rPr>
        <w:t>作为本次投标的</w:t>
      </w:r>
      <w:r>
        <w:rPr>
          <w:rFonts w:hint="eastAsia" w:ascii="宋体" w:hAnsi="宋体"/>
          <w:color w:val="auto"/>
          <w:szCs w:val="21"/>
        </w:rPr>
        <w:t>总报</w:t>
      </w:r>
      <w:r>
        <w:rPr>
          <w:rFonts w:ascii="宋体" w:hAnsi="宋体"/>
          <w:color w:val="auto"/>
          <w:szCs w:val="21"/>
        </w:rPr>
        <w:t>价</w:t>
      </w:r>
      <w:r>
        <w:rPr>
          <w:rFonts w:hint="eastAsia" w:ascii="宋体" w:hAnsi="宋体"/>
          <w:color w:val="auto"/>
          <w:szCs w:val="21"/>
        </w:rPr>
        <w:t>，质量技术要求及验收方法：</w:t>
      </w:r>
      <w:r>
        <w:rPr>
          <w:rFonts w:hint="eastAsia" w:ascii="宋体" w:hAnsi="宋体"/>
          <w:color w:val="auto"/>
          <w:szCs w:val="21"/>
          <w:u w:val="single"/>
        </w:rPr>
        <w:t>满足</w:t>
      </w:r>
      <w:r>
        <w:rPr>
          <w:rFonts w:hint="eastAsia" w:ascii="宋体" w:hAnsi="宋体"/>
          <w:color w:val="auto"/>
          <w:szCs w:val="21"/>
          <w:u w:val="single"/>
          <w:lang w:val="en-US" w:eastAsia="zh-CN"/>
        </w:rPr>
        <w:t>竞争性谈判文件</w:t>
      </w:r>
      <w:r>
        <w:rPr>
          <w:rFonts w:hint="eastAsia" w:ascii="宋体" w:hAnsi="宋体"/>
          <w:color w:val="auto"/>
          <w:szCs w:val="21"/>
          <w:u w:val="single"/>
        </w:rPr>
        <w:t>要求</w:t>
      </w:r>
      <w:r>
        <w:rPr>
          <w:rFonts w:hint="eastAsia" w:ascii="宋体" w:hAnsi="宋体" w:cs="MingLiU"/>
          <w:snapToGrid w:val="0"/>
          <w:color w:val="auto"/>
          <w:szCs w:val="21"/>
        </w:rPr>
        <w:t>，</w:t>
      </w:r>
      <w:r>
        <w:rPr>
          <w:rFonts w:hint="eastAsia" w:ascii="宋体" w:hAnsi="宋体" w:cs="MingLiU"/>
          <w:snapToGrid w:val="0"/>
          <w:color w:val="auto"/>
          <w:szCs w:val="21"/>
          <w:lang w:val="en-US" w:eastAsia="zh-CN"/>
        </w:rPr>
        <w:t>服务期</w:t>
      </w:r>
      <w:r>
        <w:rPr>
          <w:rFonts w:hint="eastAsia" w:ascii="宋体" w:hAnsi="宋体" w:cs="MingLiU"/>
          <w:snapToGrid w:val="0"/>
          <w:color w:val="auto"/>
          <w:szCs w:val="21"/>
          <w:u w:val="single"/>
          <w:lang w:val="en-US" w:eastAsia="zh-CN"/>
        </w:rPr>
        <w:t xml:space="preserve">     </w:t>
      </w:r>
      <w:r>
        <w:rPr>
          <w:rFonts w:ascii="宋体" w:hAnsi="宋体" w:cs="MingLiU"/>
          <w:snapToGrid w:val="0"/>
          <w:color w:val="auto"/>
          <w:szCs w:val="21"/>
        </w:rPr>
        <w:t>日历天</w:t>
      </w:r>
      <w:r>
        <w:rPr>
          <w:rFonts w:hint="eastAsia" w:ascii="宋体" w:hAnsi="宋体" w:cs="MingLiU"/>
          <w:snapToGrid w:val="0"/>
          <w:color w:val="auto"/>
          <w:szCs w:val="21"/>
          <w:lang w:eastAsia="zh-CN"/>
        </w:rPr>
        <w:t>，</w:t>
      </w:r>
      <w:r>
        <w:rPr>
          <w:rFonts w:hint="eastAsia" w:ascii="宋体" w:hAnsi="宋体" w:cs="MingLiU"/>
          <w:snapToGrid w:val="0"/>
          <w:color w:val="auto"/>
          <w:szCs w:val="21"/>
          <w:lang w:val="en-US" w:eastAsia="zh-CN"/>
        </w:rPr>
        <w:t>运维期</w:t>
      </w:r>
      <w:r>
        <w:rPr>
          <w:rFonts w:hint="eastAsia" w:ascii="宋体" w:hAnsi="宋体" w:cs="MingLiU"/>
          <w:snapToGrid w:val="0"/>
          <w:color w:val="auto"/>
          <w:szCs w:val="21"/>
          <w:u w:val="single"/>
          <w:lang w:val="en-US" w:eastAsia="zh-CN"/>
        </w:rPr>
        <w:t xml:space="preserve">   </w:t>
      </w:r>
      <w:r>
        <w:rPr>
          <w:rFonts w:hint="eastAsia" w:ascii="宋体" w:hAnsi="宋体" w:cs="MingLiU"/>
          <w:snapToGrid w:val="0"/>
          <w:color w:val="auto"/>
          <w:szCs w:val="21"/>
          <w:lang w:val="en-US" w:eastAsia="zh-CN"/>
        </w:rPr>
        <w:t xml:space="preserve"> 年</w:t>
      </w:r>
      <w:r>
        <w:rPr>
          <w:rFonts w:ascii="宋体" w:hAnsi="宋体" w:cs="MingLiU"/>
          <w:snapToGrid w:val="0"/>
          <w:color w:val="auto"/>
          <w:szCs w:val="21"/>
        </w:rPr>
        <w:t>。</w:t>
      </w:r>
    </w:p>
    <w:p w14:paraId="1E81AEE5">
      <w:pPr>
        <w:autoSpaceDE w:val="0"/>
        <w:autoSpaceDN w:val="0"/>
        <w:adjustRightInd w:val="0"/>
        <w:spacing w:before="15"/>
        <w:ind w:left="540" w:right="-20"/>
        <w:rPr>
          <w:rFonts w:ascii="宋体" w:hAnsi="宋体" w:cs="MingLiU"/>
          <w:snapToGrid w:val="0"/>
          <w:color w:val="auto"/>
          <w:szCs w:val="21"/>
        </w:rPr>
      </w:pPr>
      <w:r>
        <w:rPr>
          <w:rFonts w:ascii="宋体" w:hAnsi="宋体"/>
          <w:snapToGrid w:val="0"/>
          <w:color w:val="auto"/>
          <w:szCs w:val="21"/>
        </w:rPr>
        <w:t>2</w:t>
      </w:r>
      <w:r>
        <w:rPr>
          <w:rFonts w:hint="eastAsia" w:ascii="宋体" w:hAnsi="宋体" w:cs="MingLiU"/>
          <w:snapToGrid w:val="0"/>
          <w:color w:val="auto"/>
          <w:szCs w:val="21"/>
        </w:rPr>
        <w:t>．我方承诺在投标有效期内不修改、撤销投标文件。</w:t>
      </w:r>
    </w:p>
    <w:p w14:paraId="0998589E">
      <w:pPr>
        <w:autoSpaceDE w:val="0"/>
        <w:autoSpaceDN w:val="0"/>
        <w:adjustRightInd w:val="0"/>
        <w:spacing w:before="11" w:line="100" w:lineRule="exact"/>
        <w:rPr>
          <w:rFonts w:ascii="宋体" w:hAnsi="宋体" w:cs="MingLiU"/>
          <w:snapToGrid w:val="0"/>
          <w:color w:val="auto"/>
          <w:sz w:val="10"/>
          <w:szCs w:val="10"/>
        </w:rPr>
      </w:pPr>
    </w:p>
    <w:p w14:paraId="54AD9175">
      <w:pPr>
        <w:autoSpaceDE w:val="0"/>
        <w:autoSpaceDN w:val="0"/>
        <w:adjustRightInd w:val="0"/>
        <w:ind w:left="540" w:right="-20"/>
        <w:rPr>
          <w:rFonts w:ascii="宋体" w:hAnsi="宋体" w:cs="MingLiU"/>
          <w:snapToGrid w:val="0"/>
          <w:color w:val="auto"/>
          <w:szCs w:val="21"/>
        </w:rPr>
      </w:pPr>
      <w:r>
        <w:rPr>
          <w:rFonts w:ascii="宋体" w:hAnsi="宋体"/>
          <w:snapToGrid w:val="0"/>
          <w:color w:val="auto"/>
          <w:szCs w:val="21"/>
        </w:rPr>
        <w:t>3</w:t>
      </w:r>
      <w:r>
        <w:rPr>
          <w:rFonts w:hint="eastAsia" w:ascii="宋体" w:hAnsi="宋体" w:cs="MingLiU"/>
          <w:snapToGrid w:val="0"/>
          <w:color w:val="auto"/>
          <w:szCs w:val="21"/>
        </w:rPr>
        <w:t>．如我方中标：</w:t>
      </w:r>
    </w:p>
    <w:p w14:paraId="01C33ABF">
      <w:pPr>
        <w:autoSpaceDE w:val="0"/>
        <w:autoSpaceDN w:val="0"/>
        <w:adjustRightInd w:val="0"/>
        <w:spacing w:before="11" w:line="100" w:lineRule="exact"/>
        <w:rPr>
          <w:rFonts w:ascii="宋体" w:hAnsi="宋体" w:cs="MingLiU"/>
          <w:snapToGrid w:val="0"/>
          <w:color w:val="auto"/>
          <w:sz w:val="10"/>
          <w:szCs w:val="10"/>
        </w:rPr>
      </w:pPr>
    </w:p>
    <w:p w14:paraId="20499F15">
      <w:pPr>
        <w:autoSpaceDE w:val="0"/>
        <w:autoSpaceDN w:val="0"/>
        <w:adjustRightInd w:val="0"/>
        <w:ind w:right="-80" w:firstLine="945" w:firstLineChars="450"/>
        <w:rPr>
          <w:rFonts w:ascii="宋体" w:hAnsi="宋体" w:cs="MingLiU"/>
          <w:snapToGrid w:val="0"/>
          <w:color w:val="auto"/>
          <w:szCs w:val="21"/>
        </w:rPr>
      </w:pPr>
      <w:r>
        <w:rPr>
          <w:rFonts w:hint="eastAsia" w:ascii="宋体" w:hAnsi="宋体" w:cs="MingLiU"/>
          <w:snapToGrid w:val="0"/>
          <w:color w:val="auto"/>
          <w:szCs w:val="21"/>
        </w:rPr>
        <w:t>我方承诺在收到中标通知书后，在中标通知书规定的期限内与你方签订合同。</w:t>
      </w:r>
    </w:p>
    <w:p w14:paraId="7CC1CA96">
      <w:pPr>
        <w:autoSpaceDE w:val="0"/>
        <w:autoSpaceDN w:val="0"/>
        <w:adjustRightInd w:val="0"/>
        <w:spacing w:before="10" w:line="100" w:lineRule="exact"/>
        <w:rPr>
          <w:rFonts w:ascii="宋体" w:hAnsi="宋体" w:cs="MingLiU"/>
          <w:snapToGrid w:val="0"/>
          <w:color w:val="auto"/>
          <w:sz w:val="10"/>
          <w:szCs w:val="10"/>
        </w:rPr>
      </w:pPr>
    </w:p>
    <w:p w14:paraId="35BEA7E5">
      <w:pPr>
        <w:autoSpaceDE w:val="0"/>
        <w:autoSpaceDN w:val="0"/>
        <w:adjustRightInd w:val="0"/>
        <w:spacing w:before="10" w:line="100" w:lineRule="exact"/>
        <w:rPr>
          <w:rFonts w:ascii="宋体" w:hAnsi="宋体" w:cs="MingLiU"/>
          <w:snapToGrid w:val="0"/>
          <w:color w:val="auto"/>
          <w:sz w:val="10"/>
          <w:szCs w:val="10"/>
        </w:rPr>
      </w:pPr>
    </w:p>
    <w:p w14:paraId="57B62DBD">
      <w:pPr>
        <w:tabs>
          <w:tab w:val="left" w:pos="4940"/>
        </w:tabs>
        <w:autoSpaceDE w:val="0"/>
        <w:autoSpaceDN w:val="0"/>
        <w:adjustRightInd w:val="0"/>
        <w:ind w:left="540" w:right="-20"/>
        <w:rPr>
          <w:rFonts w:ascii="宋体" w:hAnsi="宋体" w:cs="MingLiU"/>
          <w:snapToGrid w:val="0"/>
          <w:color w:val="auto"/>
          <w:szCs w:val="21"/>
        </w:rPr>
      </w:pPr>
      <w:r>
        <w:rPr>
          <w:rFonts w:ascii="宋体" w:hAnsi="宋体"/>
          <w:snapToGrid w:val="0"/>
          <w:color w:val="auto"/>
          <w:szCs w:val="21"/>
        </w:rPr>
        <w:t>4</w:t>
      </w:r>
      <w:r>
        <w:rPr>
          <w:rFonts w:hint="eastAsia" w:ascii="宋体" w:hAnsi="宋体" w:cs="MingLiU"/>
          <w:snapToGrid w:val="0"/>
          <w:color w:val="auto"/>
          <w:szCs w:val="21"/>
        </w:rPr>
        <w:t>．</w:t>
      </w:r>
      <w:r>
        <w:rPr>
          <w:rFonts w:ascii="宋体" w:hAnsi="宋体"/>
          <w:snapToGrid w:val="0"/>
          <w:color w:val="auto"/>
          <w:szCs w:val="21"/>
          <w:u w:val="single"/>
        </w:rPr>
        <w:tab/>
      </w:r>
      <w:r>
        <w:rPr>
          <w:rFonts w:hint="eastAsia" w:ascii="宋体" w:hAnsi="宋体" w:cs="MingLiU"/>
          <w:snapToGrid w:val="0"/>
          <w:color w:val="auto"/>
          <w:szCs w:val="21"/>
        </w:rPr>
        <w:t>（其他补充说明）。</w:t>
      </w:r>
    </w:p>
    <w:p w14:paraId="22EED7FB">
      <w:pPr>
        <w:tabs>
          <w:tab w:val="left" w:pos="7140"/>
          <w:tab w:val="left" w:pos="7560"/>
          <w:tab w:val="left" w:pos="8300"/>
        </w:tabs>
        <w:autoSpaceDE w:val="0"/>
        <w:autoSpaceDN w:val="0"/>
        <w:adjustRightInd w:val="0"/>
        <w:spacing w:line="370" w:lineRule="auto"/>
        <w:ind w:right="210"/>
        <w:rPr>
          <w:rFonts w:ascii="宋体" w:hAnsi="宋体" w:cs="MingLiU"/>
          <w:snapToGrid w:val="0"/>
          <w:color w:val="auto"/>
          <w:szCs w:val="21"/>
        </w:rPr>
      </w:pPr>
    </w:p>
    <w:p w14:paraId="4CFF5343">
      <w:pPr>
        <w:tabs>
          <w:tab w:val="left" w:pos="7140"/>
          <w:tab w:val="left" w:pos="7560"/>
          <w:tab w:val="left" w:pos="8300"/>
        </w:tabs>
        <w:autoSpaceDE w:val="0"/>
        <w:autoSpaceDN w:val="0"/>
        <w:adjustRightInd w:val="0"/>
        <w:ind w:right="210"/>
        <w:rPr>
          <w:rFonts w:ascii="宋体" w:hAnsi="宋体" w:cs="MingLiU"/>
          <w:snapToGrid w:val="0"/>
          <w:color w:val="auto"/>
          <w:szCs w:val="21"/>
        </w:rPr>
      </w:pPr>
    </w:p>
    <w:p w14:paraId="071C9F31">
      <w:pPr>
        <w:tabs>
          <w:tab w:val="left" w:pos="7140"/>
          <w:tab w:val="left" w:pos="7560"/>
          <w:tab w:val="left" w:pos="8300"/>
        </w:tabs>
        <w:autoSpaceDE w:val="0"/>
        <w:autoSpaceDN w:val="0"/>
        <w:adjustRightInd w:val="0"/>
        <w:ind w:right="210" w:firstLine="1984" w:firstLineChars="945"/>
        <w:rPr>
          <w:rFonts w:hint="eastAsia" w:ascii="宋体" w:hAnsi="宋体" w:eastAsiaTheme="minorEastAsia"/>
          <w:snapToGrid w:val="0"/>
          <w:color w:val="auto"/>
          <w:szCs w:val="21"/>
          <w:lang w:eastAsia="zh-CN"/>
        </w:rPr>
      </w:pPr>
      <w:r>
        <w:rPr>
          <w:rFonts w:hint="eastAsia" w:ascii="宋体" w:hAnsi="宋体" w:cs="MingLiU"/>
          <w:snapToGrid w:val="0"/>
          <w:color w:val="auto"/>
          <w:szCs w:val="21"/>
        </w:rPr>
        <w:t>投标人：</w:t>
      </w:r>
      <w:r>
        <w:rPr>
          <w:rFonts w:hint="eastAsia" w:ascii="宋体" w:hAnsi="宋体" w:cs="MingLiU"/>
          <w:snapToGrid w:val="0"/>
          <w:color w:val="auto"/>
          <w:szCs w:val="21"/>
          <w:u w:val="single"/>
        </w:rPr>
        <w:t>　　　　</w:t>
      </w:r>
      <w:r>
        <w:rPr>
          <w:rFonts w:hint="eastAsia" w:ascii="宋体" w:hAnsi="宋体" w:cs="MingLiU"/>
          <w:snapToGrid w:val="0"/>
          <w:color w:val="auto"/>
          <w:szCs w:val="21"/>
          <w:u w:val="single"/>
          <w:lang w:val="en-US" w:eastAsia="zh-CN"/>
        </w:rPr>
        <w:t xml:space="preserve">                </w:t>
      </w:r>
      <w:r>
        <w:rPr>
          <w:rFonts w:hint="eastAsia" w:ascii="宋体" w:hAnsi="宋体" w:cs="MingLiU"/>
          <w:snapToGrid w:val="0"/>
          <w:color w:val="auto"/>
          <w:szCs w:val="21"/>
          <w:u w:val="single"/>
        </w:rPr>
        <w:t>　</w:t>
      </w:r>
      <w:r>
        <w:rPr>
          <w:rFonts w:hint="eastAsia" w:ascii="宋体" w:hAnsi="宋体" w:cs="MingLiU"/>
          <w:snapToGrid w:val="0"/>
          <w:color w:val="auto"/>
          <w:szCs w:val="21"/>
        </w:rPr>
        <w:t>（盖单位章）</w:t>
      </w:r>
    </w:p>
    <w:p w14:paraId="79605E61">
      <w:pPr>
        <w:tabs>
          <w:tab w:val="left" w:pos="7140"/>
          <w:tab w:val="left" w:pos="7560"/>
          <w:tab w:val="left" w:pos="8300"/>
        </w:tabs>
        <w:autoSpaceDE w:val="0"/>
        <w:autoSpaceDN w:val="0"/>
        <w:adjustRightInd w:val="0"/>
        <w:ind w:right="210" w:firstLine="1984" w:firstLineChars="945"/>
        <w:rPr>
          <w:rFonts w:ascii="宋体" w:hAnsi="宋体"/>
          <w:snapToGrid w:val="0"/>
          <w:color w:val="auto"/>
          <w:szCs w:val="21"/>
        </w:rPr>
      </w:pPr>
    </w:p>
    <w:p w14:paraId="02AB8DC8">
      <w:pPr>
        <w:tabs>
          <w:tab w:val="left" w:pos="7140"/>
          <w:tab w:val="left" w:pos="7560"/>
          <w:tab w:val="left" w:pos="8300"/>
        </w:tabs>
        <w:autoSpaceDE w:val="0"/>
        <w:autoSpaceDN w:val="0"/>
        <w:adjustRightInd w:val="0"/>
        <w:ind w:right="210" w:firstLine="1995" w:firstLineChars="950"/>
        <w:rPr>
          <w:rFonts w:hint="eastAsia" w:ascii="宋体" w:hAnsi="宋体" w:eastAsiaTheme="minorEastAsia"/>
          <w:snapToGrid w:val="0"/>
          <w:color w:val="auto"/>
          <w:szCs w:val="21"/>
          <w:lang w:eastAsia="zh-CN"/>
        </w:rPr>
      </w:pPr>
      <w:r>
        <w:rPr>
          <w:rFonts w:hint="eastAsia" w:ascii="宋体" w:hAnsi="宋体" w:cs="MingLiU"/>
          <w:snapToGrid w:val="0"/>
          <w:color w:val="auto"/>
          <w:szCs w:val="21"/>
        </w:rPr>
        <w:t>法定代表人或其委托代理人：（签字）</w:t>
      </w:r>
    </w:p>
    <w:p w14:paraId="57B9B0D8">
      <w:pPr>
        <w:tabs>
          <w:tab w:val="left" w:pos="7140"/>
          <w:tab w:val="left" w:pos="7560"/>
          <w:tab w:val="left" w:pos="8300"/>
        </w:tabs>
        <w:autoSpaceDE w:val="0"/>
        <w:autoSpaceDN w:val="0"/>
        <w:adjustRightInd w:val="0"/>
        <w:ind w:right="210" w:firstLine="1995" w:firstLineChars="950"/>
        <w:rPr>
          <w:rFonts w:ascii="宋体" w:hAnsi="宋体"/>
          <w:snapToGrid w:val="0"/>
          <w:color w:val="auto"/>
          <w:szCs w:val="21"/>
        </w:rPr>
      </w:pPr>
    </w:p>
    <w:p w14:paraId="77189E08">
      <w:pPr>
        <w:tabs>
          <w:tab w:val="left" w:pos="7035"/>
          <w:tab w:val="left" w:pos="7560"/>
          <w:tab w:val="left" w:pos="8300"/>
        </w:tabs>
        <w:autoSpaceDE w:val="0"/>
        <w:autoSpaceDN w:val="0"/>
        <w:adjustRightInd w:val="0"/>
        <w:ind w:right="210" w:firstLine="1984" w:firstLineChars="945"/>
        <w:rPr>
          <w:rFonts w:hint="eastAsia" w:ascii="宋体" w:hAnsi="宋体" w:cs="MingLiU" w:eastAsiaTheme="minorEastAsia"/>
          <w:snapToGrid w:val="0"/>
          <w:color w:val="auto"/>
          <w:szCs w:val="21"/>
          <w:lang w:val="en-US" w:eastAsia="zh-CN"/>
        </w:rPr>
      </w:pPr>
      <w:r>
        <w:rPr>
          <w:rFonts w:hint="eastAsia" w:ascii="宋体" w:hAnsi="宋体" w:cs="MingLiU"/>
          <w:snapToGrid w:val="0"/>
          <w:color w:val="auto"/>
          <w:szCs w:val="21"/>
        </w:rPr>
        <w:t>地址：</w:t>
      </w:r>
      <w:r>
        <w:rPr>
          <w:rFonts w:ascii="宋体" w:hAnsi="宋体"/>
          <w:snapToGrid w:val="0"/>
          <w:color w:val="auto"/>
          <w:szCs w:val="21"/>
          <w:u w:val="single"/>
        </w:rPr>
        <w:tab/>
      </w:r>
    </w:p>
    <w:p w14:paraId="74FCE830">
      <w:pPr>
        <w:autoSpaceDE w:val="0"/>
        <w:autoSpaceDN w:val="0"/>
        <w:adjustRightInd w:val="0"/>
        <w:spacing w:before="14"/>
        <w:rPr>
          <w:rFonts w:ascii="宋体" w:hAnsi="宋体" w:cs="MingLiU"/>
          <w:snapToGrid w:val="0"/>
          <w:color w:val="auto"/>
          <w:sz w:val="20"/>
          <w:szCs w:val="20"/>
        </w:rPr>
      </w:pPr>
    </w:p>
    <w:p w14:paraId="22EA4DDC">
      <w:pPr>
        <w:tabs>
          <w:tab w:val="left" w:pos="8300"/>
        </w:tabs>
        <w:autoSpaceDE w:val="0"/>
        <w:autoSpaceDN w:val="0"/>
        <w:adjustRightInd w:val="0"/>
        <w:ind w:left="1985" w:right="-20"/>
        <w:rPr>
          <w:rFonts w:ascii="宋体" w:hAnsi="宋体" w:cs="MingLiU"/>
          <w:snapToGrid w:val="0"/>
          <w:color w:val="auto"/>
          <w:szCs w:val="21"/>
        </w:rPr>
      </w:pPr>
      <w:r>
        <w:rPr>
          <w:rFonts w:hint="eastAsia" w:ascii="宋体" w:hAnsi="宋体" w:cs="MingLiU"/>
          <w:snapToGrid w:val="0"/>
          <w:color w:val="auto"/>
          <w:szCs w:val="21"/>
        </w:rPr>
        <w:t>电话：</w:t>
      </w:r>
      <w:r>
        <w:rPr>
          <w:rFonts w:hint="eastAsia" w:ascii="宋体" w:hAnsi="宋体"/>
          <w:snapToGrid w:val="0"/>
          <w:color w:val="auto"/>
          <w:szCs w:val="21"/>
          <w:u w:val="single"/>
        </w:rPr>
        <w:t>　　　　　　　　　　　　　　　　　　　　</w:t>
      </w:r>
    </w:p>
    <w:p w14:paraId="0F8BCD15">
      <w:pPr>
        <w:autoSpaceDE w:val="0"/>
        <w:autoSpaceDN w:val="0"/>
        <w:adjustRightInd w:val="0"/>
        <w:spacing w:before="13"/>
        <w:rPr>
          <w:rFonts w:ascii="宋体" w:hAnsi="宋体" w:cs="MingLiU"/>
          <w:snapToGrid w:val="0"/>
          <w:color w:val="auto"/>
          <w:sz w:val="20"/>
          <w:szCs w:val="20"/>
        </w:rPr>
      </w:pPr>
    </w:p>
    <w:p w14:paraId="4E85EBAC">
      <w:pPr>
        <w:tabs>
          <w:tab w:val="left" w:pos="8300"/>
        </w:tabs>
        <w:autoSpaceDE w:val="0"/>
        <w:autoSpaceDN w:val="0"/>
        <w:adjustRightInd w:val="0"/>
        <w:ind w:left="1985" w:right="-20"/>
        <w:rPr>
          <w:rFonts w:ascii="宋体" w:hAnsi="宋体" w:cs="MingLiU"/>
          <w:snapToGrid w:val="0"/>
          <w:color w:val="auto"/>
          <w:szCs w:val="21"/>
        </w:rPr>
      </w:pPr>
      <w:r>
        <w:rPr>
          <w:rFonts w:hint="eastAsia" w:ascii="宋体" w:hAnsi="宋体" w:cs="MingLiU"/>
          <w:snapToGrid w:val="0"/>
          <w:color w:val="auto"/>
          <w:szCs w:val="21"/>
        </w:rPr>
        <w:t>传真：</w:t>
      </w:r>
      <w:r>
        <w:rPr>
          <w:rFonts w:hint="eastAsia" w:ascii="宋体" w:hAnsi="宋体"/>
          <w:snapToGrid w:val="0"/>
          <w:color w:val="auto"/>
          <w:szCs w:val="21"/>
          <w:u w:val="single"/>
        </w:rPr>
        <w:t>　　　　　　　　　　　　　　　　　　　　</w:t>
      </w:r>
    </w:p>
    <w:p w14:paraId="044D2D11">
      <w:pPr>
        <w:tabs>
          <w:tab w:val="left" w:pos="8300"/>
        </w:tabs>
        <w:autoSpaceDE w:val="0"/>
        <w:autoSpaceDN w:val="0"/>
        <w:adjustRightInd w:val="0"/>
        <w:ind w:left="3796" w:right="-20"/>
        <w:rPr>
          <w:rFonts w:ascii="宋体" w:hAnsi="宋体" w:cs="MingLiU"/>
          <w:snapToGrid w:val="0"/>
          <w:color w:val="auto"/>
          <w:szCs w:val="21"/>
        </w:rPr>
      </w:pPr>
    </w:p>
    <w:p w14:paraId="012154B8">
      <w:pPr>
        <w:tabs>
          <w:tab w:val="left" w:pos="8300"/>
        </w:tabs>
        <w:autoSpaceDE w:val="0"/>
        <w:autoSpaceDN w:val="0"/>
        <w:adjustRightInd w:val="0"/>
        <w:ind w:left="1985" w:right="-20"/>
        <w:rPr>
          <w:rFonts w:ascii="宋体" w:hAnsi="宋体" w:cs="MingLiU"/>
          <w:snapToGrid w:val="0"/>
          <w:color w:val="auto"/>
          <w:sz w:val="20"/>
          <w:szCs w:val="20"/>
        </w:rPr>
      </w:pPr>
      <w:r>
        <w:rPr>
          <w:rFonts w:hint="eastAsia" w:ascii="宋体" w:hAnsi="宋体" w:cs="MingLiU"/>
          <w:snapToGrid w:val="0"/>
          <w:color w:val="auto"/>
          <w:szCs w:val="21"/>
        </w:rPr>
        <w:t>邮政编码：</w:t>
      </w:r>
      <w:r>
        <w:rPr>
          <w:rFonts w:hint="eastAsia" w:ascii="宋体" w:hAnsi="宋体" w:cs="MingLiU"/>
          <w:snapToGrid w:val="0"/>
          <w:color w:val="auto"/>
          <w:w w:val="200"/>
          <w:szCs w:val="21"/>
          <w:u w:val="single"/>
        </w:rPr>
        <w:t>　　　　　　　　　</w:t>
      </w:r>
    </w:p>
    <w:p w14:paraId="103D1784">
      <w:pPr>
        <w:autoSpaceDE w:val="0"/>
        <w:autoSpaceDN w:val="0"/>
        <w:adjustRightInd w:val="0"/>
        <w:rPr>
          <w:rFonts w:ascii="宋体" w:hAnsi="宋体" w:cs="MingLiU"/>
          <w:snapToGrid w:val="0"/>
          <w:color w:val="auto"/>
          <w:sz w:val="20"/>
          <w:szCs w:val="20"/>
        </w:rPr>
      </w:pPr>
    </w:p>
    <w:p w14:paraId="577D88B6">
      <w:pPr>
        <w:autoSpaceDE w:val="0"/>
        <w:autoSpaceDN w:val="0"/>
        <w:adjustRightInd w:val="0"/>
        <w:spacing w:before="14" w:line="240" w:lineRule="exact"/>
        <w:rPr>
          <w:rFonts w:ascii="宋体" w:hAnsi="宋体" w:cs="MingLiU"/>
          <w:snapToGrid w:val="0"/>
          <w:color w:val="auto"/>
          <w:sz w:val="24"/>
        </w:rPr>
      </w:pPr>
    </w:p>
    <w:p w14:paraId="690E28A3">
      <w:pPr>
        <w:tabs>
          <w:tab w:val="left" w:pos="6000"/>
          <w:tab w:val="left" w:pos="7040"/>
          <w:tab w:val="left" w:pos="8100"/>
        </w:tabs>
        <w:autoSpaceDE w:val="0"/>
        <w:autoSpaceDN w:val="0"/>
        <w:adjustRightInd w:val="0"/>
        <w:ind w:right="-20" w:firstLine="4924" w:firstLineChars="2345"/>
        <w:rPr>
          <w:rFonts w:ascii="宋体" w:hAnsi="宋体" w:cs="MingLiU"/>
          <w:snapToGrid w:val="0"/>
          <w:color w:val="auto"/>
          <w:szCs w:val="21"/>
        </w:rPr>
      </w:pPr>
      <w:r>
        <w:rPr>
          <w:rFonts w:hint="eastAsia" w:ascii="宋体" w:hAnsi="宋体" w:cs="MingLiU"/>
          <w:snapToGrid w:val="0"/>
          <w:color w:val="auto"/>
          <w:szCs w:val="21"/>
        </w:rPr>
        <w:t>年</w:t>
      </w:r>
      <w:r>
        <w:rPr>
          <w:rFonts w:hint="eastAsia" w:ascii="宋体" w:hAnsi="宋体" w:cs="MingLiU"/>
          <w:snapToGrid w:val="0"/>
          <w:color w:val="auto"/>
          <w:szCs w:val="21"/>
          <w:lang w:val="en-US" w:eastAsia="zh-CN"/>
        </w:rPr>
        <w:t xml:space="preserve">  </w:t>
      </w:r>
      <w:r>
        <w:rPr>
          <w:rFonts w:hint="eastAsia" w:ascii="宋体" w:hAnsi="宋体" w:cs="MingLiU"/>
          <w:snapToGrid w:val="0"/>
          <w:color w:val="auto"/>
          <w:szCs w:val="21"/>
        </w:rPr>
        <w:t>月</w:t>
      </w:r>
      <w:r>
        <w:rPr>
          <w:rFonts w:hint="eastAsia" w:ascii="宋体" w:hAnsi="宋体" w:cs="MingLiU"/>
          <w:snapToGrid w:val="0"/>
          <w:color w:val="auto"/>
          <w:szCs w:val="21"/>
          <w:lang w:val="en-US" w:eastAsia="zh-CN"/>
        </w:rPr>
        <w:t xml:space="preserve">  </w:t>
      </w:r>
      <w:r>
        <w:rPr>
          <w:rFonts w:hint="eastAsia" w:ascii="宋体" w:hAnsi="宋体" w:cs="MingLiU"/>
          <w:snapToGrid w:val="0"/>
          <w:color w:val="auto"/>
          <w:szCs w:val="21"/>
        </w:rPr>
        <w:t>日</w:t>
      </w:r>
    </w:p>
    <w:p w14:paraId="00DD21F1">
      <w:pPr>
        <w:rPr>
          <w:rFonts w:ascii="宋体" w:hAnsi="宋体"/>
          <w:color w:val="auto"/>
          <w:sz w:val="28"/>
          <w:szCs w:val="28"/>
        </w:rPr>
      </w:pPr>
    </w:p>
    <w:p w14:paraId="01705423">
      <w:pPr>
        <w:rPr>
          <w:rFonts w:ascii="宋体" w:hAnsi="宋体"/>
          <w:color w:val="auto"/>
          <w:sz w:val="24"/>
          <w:szCs w:val="28"/>
        </w:rPr>
      </w:pPr>
      <w:r>
        <w:rPr>
          <w:rFonts w:ascii="宋体" w:hAnsi="宋体"/>
          <w:color w:val="auto"/>
          <w:sz w:val="28"/>
          <w:szCs w:val="28"/>
        </w:rPr>
        <w:t>注</w:t>
      </w:r>
      <w:r>
        <w:rPr>
          <w:rFonts w:hint="eastAsia" w:ascii="宋体" w:hAnsi="宋体"/>
          <w:color w:val="auto"/>
          <w:sz w:val="28"/>
          <w:szCs w:val="28"/>
        </w:rPr>
        <w:t>：</w:t>
      </w:r>
      <w:r>
        <w:rPr>
          <w:rFonts w:hint="eastAsia" w:ascii="宋体" w:hAnsi="宋体"/>
          <w:color w:val="auto"/>
          <w:sz w:val="24"/>
          <w:szCs w:val="28"/>
        </w:rPr>
        <w:t>大写金额和小写金额不一致时，以大写金额为准；</w:t>
      </w:r>
    </w:p>
    <w:p w14:paraId="40A3414C">
      <w:pPr>
        <w:rPr>
          <w:color w:val="auto"/>
          <w:sz w:val="28"/>
          <w:szCs w:val="28"/>
        </w:rPr>
      </w:pPr>
    </w:p>
    <w:p w14:paraId="6E8C1E9B">
      <w:pPr>
        <w:rPr>
          <w:color w:val="auto"/>
          <w:sz w:val="28"/>
          <w:szCs w:val="28"/>
        </w:rPr>
      </w:pPr>
    </w:p>
    <w:p w14:paraId="4E0C67E3">
      <w:pPr>
        <w:rPr>
          <w:color w:val="auto"/>
          <w:sz w:val="28"/>
          <w:szCs w:val="28"/>
        </w:rPr>
      </w:pPr>
    </w:p>
    <w:p w14:paraId="557C5E55">
      <w:pPr>
        <w:outlineLvl w:val="0"/>
        <w:rPr>
          <w:rFonts w:ascii="宋体" w:hAnsi="宋体"/>
          <w:b/>
          <w:color w:val="auto"/>
          <w:sz w:val="28"/>
          <w:szCs w:val="28"/>
        </w:rPr>
      </w:pPr>
      <w:r>
        <w:rPr>
          <w:rFonts w:hint="eastAsia" w:ascii="宋体" w:hAnsi="宋体"/>
          <w:b/>
          <w:color w:val="auto"/>
          <w:sz w:val="28"/>
          <w:szCs w:val="28"/>
        </w:rPr>
        <w:t>附件</w:t>
      </w:r>
      <w:r>
        <w:rPr>
          <w:rFonts w:ascii="宋体" w:hAnsi="宋体"/>
          <w:b/>
          <w:color w:val="auto"/>
          <w:sz w:val="28"/>
          <w:szCs w:val="28"/>
        </w:rPr>
        <w:t>2</w:t>
      </w:r>
      <w:r>
        <w:rPr>
          <w:rFonts w:hint="eastAsia" w:ascii="宋体" w:hAnsi="宋体"/>
          <w:b/>
          <w:color w:val="auto"/>
          <w:sz w:val="28"/>
          <w:szCs w:val="28"/>
        </w:rPr>
        <w:t>：</w:t>
      </w:r>
    </w:p>
    <w:p w14:paraId="17560EAB">
      <w:pPr>
        <w:widowControl/>
        <w:ind w:firstLine="480" w:firstLineChars="200"/>
        <w:jc w:val="center"/>
        <w:rPr>
          <w:rFonts w:ascii="方正仿宋_GBK" w:hAnsi="宋体" w:eastAsia="方正仿宋_GBK"/>
          <w:color w:val="auto"/>
          <w:sz w:val="24"/>
        </w:rPr>
      </w:pPr>
      <w:r>
        <w:rPr>
          <w:rFonts w:hint="eastAsia" w:ascii="方正仿宋_GBK" w:hAnsi="宋体" w:eastAsia="方正仿宋_GBK"/>
          <w:color w:val="auto"/>
          <w:sz w:val="24"/>
        </w:rPr>
        <w:t>法定代表人身份证明书</w:t>
      </w:r>
    </w:p>
    <w:p w14:paraId="78E11D7B">
      <w:pPr>
        <w:tabs>
          <w:tab w:val="left" w:pos="6300"/>
        </w:tabs>
        <w:snapToGrid w:val="0"/>
        <w:spacing w:line="500" w:lineRule="exact"/>
        <w:ind w:firstLine="570"/>
        <w:rPr>
          <w:rFonts w:ascii="方正仿宋_GBK" w:hAnsi="宋体" w:eastAsia="方正仿宋_GBK"/>
          <w:color w:val="auto"/>
          <w:sz w:val="24"/>
        </w:rPr>
      </w:pPr>
    </w:p>
    <w:p w14:paraId="65A019E7">
      <w:pPr>
        <w:tabs>
          <w:tab w:val="left" w:pos="6300"/>
        </w:tabs>
        <w:snapToGrid w:val="0"/>
        <w:spacing w:line="500" w:lineRule="exact"/>
        <w:ind w:firstLine="570"/>
        <w:rPr>
          <w:rFonts w:hint="eastAsia" w:ascii="方正仿宋_GBK" w:hAnsi="宋体" w:eastAsia="方正仿宋_GBK"/>
          <w:color w:val="auto"/>
          <w:sz w:val="24"/>
          <w:u w:val="single"/>
          <w:lang w:eastAsia="zh-CN"/>
        </w:rPr>
      </w:pPr>
      <w:r>
        <w:rPr>
          <w:rFonts w:hint="eastAsia" w:ascii="方正仿宋_GBK" w:hAnsi="宋体" w:eastAsia="方正仿宋_GBK"/>
          <w:color w:val="auto"/>
          <w:sz w:val="24"/>
        </w:rPr>
        <w:t>项目名称：</w:t>
      </w:r>
    </w:p>
    <w:p w14:paraId="0970492B">
      <w:pPr>
        <w:tabs>
          <w:tab w:val="left" w:pos="6300"/>
        </w:tabs>
        <w:snapToGrid w:val="0"/>
        <w:spacing w:line="500" w:lineRule="exact"/>
        <w:ind w:firstLine="570"/>
        <w:rPr>
          <w:rFonts w:ascii="方正仿宋_GBK" w:hAnsi="宋体" w:eastAsia="方正仿宋_GBK"/>
          <w:color w:val="auto"/>
          <w:sz w:val="24"/>
          <w:u w:val="single"/>
        </w:rPr>
      </w:pPr>
    </w:p>
    <w:p w14:paraId="7297350F">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致：（招标</w:t>
      </w:r>
      <w:r>
        <w:rPr>
          <w:rFonts w:hint="eastAsia" w:ascii="方正仿宋_GBK" w:hAnsi="宋体" w:eastAsia="方正仿宋_GBK"/>
          <w:color w:val="auto"/>
          <w:sz w:val="24"/>
          <w:lang w:val="en-US" w:eastAsia="zh-CN"/>
        </w:rPr>
        <w:t>人</w:t>
      </w:r>
      <w:r>
        <w:rPr>
          <w:rFonts w:hint="eastAsia" w:ascii="方正仿宋_GBK" w:hAnsi="宋体" w:eastAsia="方正仿宋_GBK"/>
          <w:color w:val="auto"/>
          <w:sz w:val="24"/>
        </w:rPr>
        <w:t>名称）：</w:t>
      </w:r>
    </w:p>
    <w:p w14:paraId="5C339063">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（法定代表人姓名）在（投标人名称）任（职务名称）职务，是（投标人名称）的法定代表人。</w:t>
      </w:r>
    </w:p>
    <w:p w14:paraId="60BCC4CA">
      <w:pPr>
        <w:tabs>
          <w:tab w:val="left" w:pos="6300"/>
        </w:tabs>
        <w:snapToGrid w:val="0"/>
        <w:spacing w:line="500" w:lineRule="exact"/>
        <w:ind w:firstLine="570"/>
        <w:rPr>
          <w:rFonts w:ascii="方正仿宋_GBK" w:hAnsi="宋体" w:eastAsia="方正仿宋_GBK"/>
          <w:color w:val="auto"/>
          <w:sz w:val="24"/>
        </w:rPr>
      </w:pPr>
    </w:p>
    <w:p w14:paraId="6FB850F2">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特此证明。</w:t>
      </w:r>
    </w:p>
    <w:p w14:paraId="0F1D115E">
      <w:pPr>
        <w:tabs>
          <w:tab w:val="left" w:pos="6300"/>
        </w:tabs>
        <w:snapToGrid w:val="0"/>
        <w:spacing w:line="500" w:lineRule="exact"/>
        <w:ind w:firstLine="570"/>
        <w:rPr>
          <w:rFonts w:ascii="方正仿宋_GBK" w:hAnsi="宋体" w:eastAsia="方正仿宋_GBK"/>
          <w:color w:val="auto"/>
          <w:sz w:val="24"/>
        </w:rPr>
      </w:pPr>
    </w:p>
    <w:p w14:paraId="5F012A0A">
      <w:pPr>
        <w:tabs>
          <w:tab w:val="left" w:pos="6300"/>
        </w:tabs>
        <w:snapToGrid w:val="0"/>
        <w:spacing w:line="500" w:lineRule="exact"/>
        <w:ind w:firstLine="570"/>
        <w:rPr>
          <w:rFonts w:ascii="方正仿宋_GBK" w:hAnsi="宋体" w:eastAsia="方正仿宋_GBK"/>
          <w:color w:val="auto"/>
          <w:sz w:val="24"/>
        </w:rPr>
      </w:pPr>
    </w:p>
    <w:p w14:paraId="643A218A">
      <w:pPr>
        <w:tabs>
          <w:tab w:val="left" w:pos="6300"/>
        </w:tabs>
        <w:snapToGrid w:val="0"/>
        <w:spacing w:line="500" w:lineRule="exact"/>
        <w:ind w:firstLine="570"/>
        <w:rPr>
          <w:rFonts w:ascii="方正仿宋_GBK" w:hAnsi="宋体" w:eastAsia="方正仿宋_GBK"/>
          <w:color w:val="auto"/>
          <w:sz w:val="24"/>
        </w:rPr>
      </w:pPr>
    </w:p>
    <w:p w14:paraId="6CFC378E">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（投标人公章）</w:t>
      </w:r>
    </w:p>
    <w:p w14:paraId="09416457">
      <w:pPr>
        <w:tabs>
          <w:tab w:val="left" w:pos="6300"/>
        </w:tabs>
        <w:snapToGrid w:val="0"/>
        <w:spacing w:line="500" w:lineRule="exact"/>
        <w:ind w:firstLine="570"/>
        <w:rPr>
          <w:rFonts w:ascii="方正仿宋_GBK" w:hAnsi="宋体" w:eastAsia="方正仿宋_GBK"/>
          <w:color w:val="auto"/>
          <w:sz w:val="24"/>
        </w:rPr>
      </w:pPr>
    </w:p>
    <w:p w14:paraId="6BA63C5F">
      <w:pPr>
        <w:tabs>
          <w:tab w:val="left" w:pos="6300"/>
        </w:tabs>
        <w:snapToGrid w:val="0"/>
        <w:spacing w:line="500" w:lineRule="exact"/>
        <w:ind w:firstLine="1130" w:firstLineChars="471"/>
        <w:rPr>
          <w:rFonts w:ascii="方正仿宋_GBK" w:hAnsi="宋体" w:eastAsia="方正仿宋_GBK"/>
          <w:color w:val="auto"/>
          <w:sz w:val="24"/>
        </w:rPr>
      </w:pPr>
      <w:r>
        <w:rPr>
          <w:rFonts w:hint="eastAsia" w:ascii="方正仿宋_GBK" w:hAnsi="宋体" w:eastAsia="方正仿宋_GBK"/>
          <w:color w:val="auto"/>
          <w:sz w:val="24"/>
        </w:rPr>
        <w:t>年</w:t>
      </w:r>
      <w:r>
        <w:rPr>
          <w:rFonts w:hint="eastAsia" w:ascii="方正仿宋_GBK" w:hAnsi="宋体" w:eastAsia="方正仿宋_GBK"/>
          <w:color w:val="auto"/>
          <w:sz w:val="24"/>
          <w:lang w:val="en-US" w:eastAsia="zh-CN"/>
        </w:rPr>
        <w:t xml:space="preserve">  </w:t>
      </w:r>
      <w:r>
        <w:rPr>
          <w:rFonts w:hint="eastAsia" w:ascii="方正仿宋_GBK" w:hAnsi="宋体" w:eastAsia="方正仿宋_GBK"/>
          <w:color w:val="auto"/>
          <w:sz w:val="24"/>
        </w:rPr>
        <w:t>月</w:t>
      </w:r>
      <w:r>
        <w:rPr>
          <w:rFonts w:hint="eastAsia" w:ascii="方正仿宋_GBK" w:hAnsi="宋体" w:eastAsia="方正仿宋_GBK"/>
          <w:color w:val="auto"/>
          <w:sz w:val="24"/>
          <w:lang w:val="en-US" w:eastAsia="zh-CN"/>
        </w:rPr>
        <w:t xml:space="preserve">  </w:t>
      </w:r>
      <w:r>
        <w:rPr>
          <w:rFonts w:hint="eastAsia" w:ascii="方正仿宋_GBK" w:hAnsi="宋体" w:eastAsia="方正仿宋_GBK"/>
          <w:color w:val="auto"/>
          <w:sz w:val="24"/>
        </w:rPr>
        <w:t>日</w:t>
      </w:r>
    </w:p>
    <w:p w14:paraId="62B50D9A">
      <w:pPr>
        <w:tabs>
          <w:tab w:val="left" w:pos="6300"/>
        </w:tabs>
        <w:snapToGrid w:val="0"/>
        <w:spacing w:line="500" w:lineRule="exact"/>
        <w:ind w:firstLine="570"/>
        <w:rPr>
          <w:rFonts w:ascii="方正仿宋_GBK" w:hAnsi="宋体" w:eastAsia="方正仿宋_GBK"/>
          <w:color w:val="auto"/>
          <w:sz w:val="24"/>
        </w:rPr>
      </w:pPr>
    </w:p>
    <w:p w14:paraId="0A8A7D90">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（附：法定代表人身份证正反面复印件）</w:t>
      </w:r>
    </w:p>
    <w:p w14:paraId="2E889AF4">
      <w:pPr>
        <w:tabs>
          <w:tab w:val="left" w:pos="6300"/>
        </w:tabs>
        <w:snapToGrid w:val="0"/>
        <w:spacing w:line="500" w:lineRule="exact"/>
        <w:ind w:firstLine="570"/>
        <w:rPr>
          <w:rFonts w:ascii="方正仿宋_GBK" w:hAnsi="宋体" w:eastAsia="方正仿宋_GBK"/>
          <w:color w:val="auto"/>
          <w:sz w:val="24"/>
        </w:rPr>
      </w:pPr>
    </w:p>
    <w:p w14:paraId="7BFED667">
      <w:pPr>
        <w:tabs>
          <w:tab w:val="left" w:pos="6300"/>
        </w:tabs>
        <w:snapToGrid w:val="0"/>
        <w:spacing w:line="500" w:lineRule="exact"/>
        <w:ind w:firstLine="570"/>
        <w:rPr>
          <w:rFonts w:ascii="方正仿宋_GBK" w:hAnsi="宋体" w:eastAsia="方正仿宋_GBK"/>
          <w:color w:val="auto"/>
          <w:sz w:val="24"/>
        </w:rPr>
      </w:pPr>
    </w:p>
    <w:p w14:paraId="5E7F1BAD">
      <w:pPr>
        <w:tabs>
          <w:tab w:val="left" w:pos="6300"/>
        </w:tabs>
        <w:snapToGrid w:val="0"/>
        <w:spacing w:line="500" w:lineRule="exact"/>
        <w:ind w:firstLine="570"/>
        <w:rPr>
          <w:rFonts w:ascii="方正仿宋_GBK" w:hAnsi="宋体" w:eastAsia="方正仿宋_GBK"/>
          <w:color w:val="auto"/>
          <w:sz w:val="24"/>
        </w:rPr>
      </w:pPr>
    </w:p>
    <w:p w14:paraId="73196636">
      <w:pPr>
        <w:tabs>
          <w:tab w:val="left" w:pos="6300"/>
        </w:tabs>
        <w:snapToGrid w:val="0"/>
        <w:spacing w:line="500" w:lineRule="exact"/>
        <w:ind w:firstLine="570"/>
        <w:rPr>
          <w:rFonts w:ascii="方正仿宋_GBK" w:hAnsi="宋体" w:eastAsia="方正仿宋_GBK"/>
          <w:color w:val="auto"/>
          <w:sz w:val="24"/>
        </w:rPr>
      </w:pPr>
    </w:p>
    <w:p w14:paraId="153317BD">
      <w:pPr>
        <w:tabs>
          <w:tab w:val="left" w:pos="6300"/>
        </w:tabs>
        <w:snapToGrid w:val="0"/>
        <w:spacing w:line="500" w:lineRule="exact"/>
        <w:rPr>
          <w:rFonts w:ascii="方正仿宋_GBK" w:hAnsi="宋体" w:eastAsia="方正仿宋_GBK"/>
          <w:color w:val="auto"/>
          <w:sz w:val="24"/>
        </w:rPr>
      </w:pPr>
    </w:p>
    <w:p w14:paraId="7C52329F">
      <w:pPr>
        <w:tabs>
          <w:tab w:val="left" w:pos="6300"/>
        </w:tabs>
        <w:snapToGrid w:val="0"/>
        <w:spacing w:line="500" w:lineRule="exact"/>
        <w:ind w:firstLine="570"/>
        <w:jc w:val="center"/>
        <w:rPr>
          <w:rFonts w:ascii="方正仿宋_GBK" w:hAnsi="宋体" w:eastAsia="方正仿宋_GBK"/>
          <w:color w:val="auto"/>
          <w:sz w:val="24"/>
        </w:rPr>
      </w:pPr>
      <w:r>
        <w:rPr>
          <w:color w:val="auto"/>
          <w:sz w:val="24"/>
        </w:rPr>
        <w:br w:type="column"/>
      </w:r>
      <w:r>
        <w:rPr>
          <w:rFonts w:hint="eastAsia" w:ascii="方正仿宋_GBK" w:hAnsi="宋体" w:eastAsia="方正仿宋_GBK"/>
          <w:color w:val="auto"/>
          <w:sz w:val="24"/>
        </w:rPr>
        <w:t>法定代表人授权委托书</w:t>
      </w:r>
    </w:p>
    <w:p w14:paraId="1CA943B4">
      <w:pPr>
        <w:tabs>
          <w:tab w:val="left" w:pos="6300"/>
        </w:tabs>
        <w:snapToGrid w:val="0"/>
        <w:spacing w:line="500" w:lineRule="exact"/>
        <w:ind w:firstLine="570"/>
        <w:rPr>
          <w:rFonts w:hint="eastAsia" w:ascii="方正仿宋_GBK" w:hAnsi="宋体" w:eastAsia="方正仿宋_GBK"/>
          <w:color w:val="auto"/>
          <w:sz w:val="24"/>
          <w:lang w:eastAsia="zh-CN"/>
        </w:rPr>
      </w:pPr>
    </w:p>
    <w:p w14:paraId="738AC371">
      <w:pPr>
        <w:tabs>
          <w:tab w:val="left" w:pos="6300"/>
        </w:tabs>
        <w:snapToGrid w:val="0"/>
        <w:spacing w:line="500" w:lineRule="exact"/>
        <w:ind w:firstLine="480" w:firstLineChars="200"/>
        <w:rPr>
          <w:rFonts w:hint="eastAsia" w:ascii="方正仿宋_GBK" w:hAnsi="宋体" w:eastAsia="方正仿宋_GBK"/>
          <w:color w:val="auto"/>
          <w:sz w:val="24"/>
          <w:lang w:eastAsia="zh-CN"/>
        </w:rPr>
      </w:pPr>
      <w:r>
        <w:rPr>
          <w:rFonts w:hint="eastAsia" w:ascii="方正仿宋_GBK" w:hAnsi="宋体" w:eastAsia="方正仿宋_GBK"/>
          <w:color w:val="auto"/>
          <w:sz w:val="24"/>
        </w:rPr>
        <w:t>项目名称：</w:t>
      </w:r>
    </w:p>
    <w:p w14:paraId="3BFD5A62">
      <w:pPr>
        <w:tabs>
          <w:tab w:val="left" w:pos="6300"/>
        </w:tabs>
        <w:snapToGrid w:val="0"/>
        <w:spacing w:line="500" w:lineRule="exact"/>
        <w:ind w:firstLine="570"/>
        <w:rPr>
          <w:rFonts w:ascii="方正仿宋_GBK" w:hAnsi="宋体" w:eastAsia="方正仿宋_GBK"/>
          <w:color w:val="auto"/>
          <w:sz w:val="24"/>
        </w:rPr>
      </w:pPr>
    </w:p>
    <w:p w14:paraId="5A0AEDE2">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rPr>
        <w:t>致：（招标人名称）：</w:t>
      </w:r>
    </w:p>
    <w:p w14:paraId="31F2A70A">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rPr>
        <w:t>（投标人法定代表人名称）是（投标人名称）的法定代表人，特授权（被授权人姓名及身份证代码）代表我单位全权办理上述项目的</w:t>
      </w:r>
      <w:r>
        <w:rPr>
          <w:rFonts w:hint="eastAsia" w:ascii="方正仿宋_GBK" w:hAnsi="宋体" w:eastAsia="方正仿宋_GBK"/>
          <w:color w:val="auto"/>
          <w:sz w:val="24"/>
          <w:lang w:val="en-US" w:eastAsia="zh-CN"/>
        </w:rPr>
        <w:t>谈判</w:t>
      </w:r>
      <w:r>
        <w:rPr>
          <w:rFonts w:hint="eastAsia" w:ascii="方正仿宋_GBK" w:hAnsi="宋体" w:eastAsia="方正仿宋_GBK"/>
          <w:color w:val="auto"/>
          <w:sz w:val="24"/>
        </w:rPr>
        <w:t>、签约等具体工作，并签署全部有关文件、协议及合同。</w:t>
      </w:r>
    </w:p>
    <w:p w14:paraId="2C1634FA">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rPr>
        <w:t>我单位对被授权人的签字负全部责任。</w:t>
      </w:r>
    </w:p>
    <w:p w14:paraId="72F9384B">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rPr>
        <w:t>在撤消授权的书面通知以前，本授权书一直有效。被授权人在授权书有效期内签署的所有文件不因授权的撤消而失效。</w:t>
      </w:r>
    </w:p>
    <w:p w14:paraId="1E23C890">
      <w:pPr>
        <w:tabs>
          <w:tab w:val="left" w:pos="6300"/>
        </w:tabs>
        <w:snapToGrid w:val="0"/>
        <w:spacing w:line="500" w:lineRule="exact"/>
        <w:ind w:firstLine="570"/>
        <w:rPr>
          <w:rFonts w:ascii="方正仿宋_GBK" w:hAnsi="宋体" w:eastAsia="方正仿宋_GBK"/>
          <w:color w:val="auto"/>
          <w:sz w:val="24"/>
        </w:rPr>
      </w:pPr>
    </w:p>
    <w:p w14:paraId="3A45CC62">
      <w:pPr>
        <w:tabs>
          <w:tab w:val="left" w:pos="6300"/>
        </w:tabs>
        <w:snapToGrid w:val="0"/>
        <w:spacing w:line="500" w:lineRule="exact"/>
        <w:ind w:firstLine="570"/>
        <w:rPr>
          <w:rFonts w:ascii="方正仿宋_GBK" w:hAnsi="宋体" w:eastAsia="方正仿宋_GBK"/>
          <w:color w:val="auto"/>
          <w:sz w:val="24"/>
        </w:rPr>
      </w:pPr>
    </w:p>
    <w:p w14:paraId="62616665">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被授权人：</w:t>
      </w:r>
      <w:r>
        <w:rPr>
          <w:rFonts w:hint="eastAsia" w:ascii="方正仿宋_GBK" w:hAnsi="宋体" w:eastAsia="方正仿宋_GBK"/>
          <w:color w:val="auto"/>
          <w:sz w:val="24"/>
          <w:lang w:val="en-US" w:eastAsia="zh-CN"/>
        </w:rPr>
        <w:t xml:space="preserve">                    </w:t>
      </w:r>
      <w:r>
        <w:rPr>
          <w:rFonts w:hint="eastAsia" w:ascii="方正仿宋_GBK" w:hAnsi="宋体" w:eastAsia="方正仿宋_GBK"/>
          <w:color w:val="auto"/>
          <w:sz w:val="24"/>
        </w:rPr>
        <w:t>投标人法定代表人：</w:t>
      </w:r>
    </w:p>
    <w:p w14:paraId="2A3E916D">
      <w:pPr>
        <w:ind w:firstLine="240" w:firstLineChars="100"/>
        <w:rPr>
          <w:rFonts w:ascii="方正仿宋_GBK" w:hAnsi="宋体" w:eastAsia="方正仿宋_GBK"/>
          <w:color w:val="auto"/>
          <w:sz w:val="24"/>
        </w:rPr>
      </w:pPr>
      <w:r>
        <w:rPr>
          <w:rFonts w:hint="eastAsia" w:ascii="方正仿宋_GBK" w:hAnsi="宋体" w:eastAsia="方正仿宋_GBK"/>
          <w:color w:val="auto"/>
          <w:sz w:val="24"/>
        </w:rPr>
        <w:t>（签字或盖章）</w:t>
      </w:r>
      <w:r>
        <w:rPr>
          <w:rFonts w:hint="eastAsia" w:ascii="方正仿宋_GBK" w:hAnsi="宋体" w:eastAsia="方正仿宋_GBK"/>
          <w:color w:val="auto"/>
          <w:sz w:val="24"/>
          <w:lang w:val="en-US" w:eastAsia="zh-CN"/>
        </w:rPr>
        <w:t xml:space="preserve">                     </w:t>
      </w:r>
      <w:r>
        <w:rPr>
          <w:rFonts w:hint="eastAsia" w:ascii="方正仿宋_GBK" w:hAnsi="宋体" w:eastAsia="方正仿宋_GBK"/>
          <w:color w:val="auto"/>
          <w:sz w:val="24"/>
        </w:rPr>
        <w:t>（签字或盖章）</w:t>
      </w:r>
    </w:p>
    <w:p w14:paraId="402D8576">
      <w:pPr>
        <w:rPr>
          <w:rFonts w:ascii="方正仿宋_GBK" w:hAnsi="宋体" w:eastAsia="方正仿宋_GBK"/>
          <w:color w:val="auto"/>
          <w:sz w:val="24"/>
        </w:rPr>
      </w:pPr>
      <w:r>
        <w:rPr>
          <w:rFonts w:hint="eastAsia" w:ascii="方正仿宋_GBK" w:hAnsi="宋体" w:eastAsia="方正仿宋_GBK"/>
          <w:color w:val="auto"/>
          <w:sz w:val="24"/>
        </w:rPr>
        <w:t>附被</w:t>
      </w:r>
      <w:r>
        <w:rPr>
          <w:rFonts w:ascii="方正仿宋_GBK" w:hAnsi="宋体" w:eastAsia="方正仿宋_GBK"/>
          <w:color w:val="auto"/>
          <w:sz w:val="24"/>
        </w:rPr>
        <w:t>授权人身份证复印件</w:t>
      </w:r>
    </w:p>
    <w:p w14:paraId="7A2833DA">
      <w:pPr>
        <w:rPr>
          <w:rFonts w:ascii="方正仿宋_GBK" w:hAnsi="宋体" w:eastAsia="方正仿宋_GBK"/>
          <w:color w:val="auto"/>
          <w:sz w:val="24"/>
        </w:rPr>
      </w:pPr>
    </w:p>
    <w:p w14:paraId="390B17C6">
      <w:pPr>
        <w:rPr>
          <w:rFonts w:ascii="方正仿宋_GBK" w:hAnsi="宋体" w:eastAsia="方正仿宋_GBK"/>
          <w:color w:val="auto"/>
          <w:sz w:val="24"/>
        </w:rPr>
      </w:pPr>
    </w:p>
    <w:p w14:paraId="2DD3F680">
      <w:pPr>
        <w:rPr>
          <w:rFonts w:ascii="方正仿宋_GBK" w:hAnsi="宋体" w:eastAsia="方正仿宋_GBK"/>
          <w:color w:val="auto"/>
          <w:sz w:val="24"/>
        </w:rPr>
      </w:pPr>
    </w:p>
    <w:p w14:paraId="6C4D1AC5">
      <w:pPr>
        <w:rPr>
          <w:rFonts w:ascii="方正仿宋_GBK" w:hAnsi="宋体" w:eastAsia="方正仿宋_GBK"/>
          <w:color w:val="auto"/>
          <w:sz w:val="24"/>
        </w:rPr>
      </w:pPr>
    </w:p>
    <w:p w14:paraId="13942D95">
      <w:pPr>
        <w:rPr>
          <w:rFonts w:ascii="方正仿宋_GBK" w:hAnsi="宋体" w:eastAsia="方正仿宋_GBK"/>
          <w:color w:val="auto"/>
          <w:sz w:val="24"/>
        </w:rPr>
      </w:pPr>
    </w:p>
    <w:p w14:paraId="1CC37891">
      <w:pPr>
        <w:rPr>
          <w:rFonts w:ascii="方正仿宋_GBK" w:hAnsi="宋体" w:eastAsia="方正仿宋_GBK"/>
          <w:color w:val="auto"/>
          <w:sz w:val="24"/>
        </w:rPr>
      </w:pPr>
    </w:p>
    <w:p w14:paraId="625D1A5C">
      <w:pPr>
        <w:rPr>
          <w:rFonts w:ascii="方正仿宋_GBK" w:hAnsi="宋体" w:eastAsia="方正仿宋_GBK"/>
          <w:color w:val="auto"/>
          <w:sz w:val="24"/>
        </w:rPr>
      </w:pPr>
    </w:p>
    <w:p w14:paraId="33CC8252">
      <w:pPr>
        <w:rPr>
          <w:rFonts w:ascii="方正仿宋_GBK" w:hAnsi="宋体" w:eastAsia="方正仿宋_GBK"/>
          <w:color w:val="auto"/>
          <w:sz w:val="24"/>
        </w:rPr>
      </w:pPr>
    </w:p>
    <w:p w14:paraId="0A667AB8">
      <w:pPr>
        <w:rPr>
          <w:rFonts w:ascii="方正仿宋_GBK" w:hAnsi="宋体" w:eastAsia="方正仿宋_GBK"/>
          <w:color w:val="auto"/>
          <w:sz w:val="24"/>
        </w:rPr>
      </w:pPr>
    </w:p>
    <w:p w14:paraId="678C9335">
      <w:pPr>
        <w:outlineLvl w:val="0"/>
        <w:rPr>
          <w:rFonts w:hint="eastAsia" w:ascii="宋体" w:hAnsi="宋体"/>
          <w:b/>
          <w:color w:val="auto"/>
          <w:sz w:val="28"/>
          <w:szCs w:val="28"/>
          <w:lang w:val="en-US" w:eastAsia="zh-CN"/>
        </w:rPr>
      </w:pPr>
      <w:r>
        <w:rPr>
          <w:rFonts w:hint="eastAsia" w:ascii="宋体" w:hAnsi="宋体"/>
          <w:b/>
          <w:color w:val="auto"/>
          <w:sz w:val="28"/>
          <w:szCs w:val="28"/>
          <w:lang w:val="en-US" w:eastAsia="zh-CN"/>
        </w:rPr>
        <w:t>附件3：</w:t>
      </w:r>
    </w:p>
    <w:p w14:paraId="3E3EFF15">
      <w:pPr>
        <w:jc w:val="center"/>
        <w:rPr>
          <w:rFonts w:hint="eastAsia" w:ascii="宋体" w:hAnsi="宋体"/>
          <w:b/>
          <w:color w:val="auto"/>
          <w:sz w:val="28"/>
          <w:szCs w:val="28"/>
          <w:lang w:val="en-US" w:eastAsia="zh-CN"/>
        </w:rPr>
      </w:pPr>
      <w:r>
        <w:rPr>
          <w:rFonts w:hint="eastAsia" w:ascii="宋体" w:hAnsi="宋体"/>
          <w:b/>
          <w:color w:val="auto"/>
          <w:sz w:val="28"/>
          <w:szCs w:val="28"/>
          <w:lang w:val="en-US" w:eastAsia="zh-CN"/>
        </w:rPr>
        <w:t>承诺书</w:t>
      </w:r>
    </w:p>
    <w:p w14:paraId="0C7BD4E3">
      <w:pPr>
        <w:tabs>
          <w:tab w:val="left" w:pos="2640"/>
        </w:tabs>
        <w:autoSpaceDE w:val="0"/>
        <w:autoSpaceDN w:val="0"/>
        <w:adjustRightInd w:val="0"/>
        <w:spacing w:line="220" w:lineRule="exact"/>
        <w:ind w:left="120" w:right="-20"/>
        <w:rPr>
          <w:rFonts w:ascii="宋体" w:hAnsi="宋体"/>
          <w:snapToGrid w:val="0"/>
          <w:color w:val="auto"/>
          <w:szCs w:val="21"/>
          <w:u w:val="single"/>
        </w:rPr>
      </w:pPr>
    </w:p>
    <w:p w14:paraId="0CBB1518">
      <w:pPr>
        <w:tabs>
          <w:tab w:val="left" w:pos="2655"/>
          <w:tab w:val="left" w:pos="2760"/>
          <w:tab w:val="left" w:pos="4500"/>
          <w:tab w:val="left" w:pos="5715"/>
          <w:tab w:val="left" w:pos="6945"/>
          <w:tab w:val="left" w:pos="8505"/>
        </w:tabs>
        <w:autoSpaceDE w:val="0"/>
        <w:autoSpaceDN w:val="0"/>
        <w:adjustRightInd w:val="0"/>
        <w:spacing w:line="354" w:lineRule="auto"/>
        <w:ind w:left="120" w:leftChars="57" w:right="94" w:firstLine="420" w:firstLineChars="200"/>
        <w:rPr>
          <w:rFonts w:hint="eastAsia" w:ascii="宋体" w:hAnsi="宋体" w:cs="MingLiU"/>
          <w:snapToGrid w:val="0"/>
          <w:color w:val="auto"/>
          <w:szCs w:val="21"/>
        </w:rPr>
      </w:pPr>
    </w:p>
    <w:p w14:paraId="2E880962">
      <w:pPr>
        <w:tabs>
          <w:tab w:val="left" w:pos="2655"/>
          <w:tab w:val="left" w:pos="2760"/>
          <w:tab w:val="left" w:pos="4500"/>
          <w:tab w:val="left" w:pos="5715"/>
          <w:tab w:val="left" w:pos="6945"/>
          <w:tab w:val="left" w:pos="8505"/>
        </w:tabs>
        <w:autoSpaceDE w:val="0"/>
        <w:autoSpaceDN w:val="0"/>
        <w:adjustRightInd w:val="0"/>
        <w:spacing w:line="480" w:lineRule="auto"/>
        <w:ind w:right="94"/>
        <w:jc w:val="left"/>
        <w:rPr>
          <w:rFonts w:hint="eastAsia" w:ascii="宋体" w:hAnsi="宋体" w:cs="MingLiU"/>
          <w:snapToGrid w:val="0"/>
          <w:color w:val="auto"/>
          <w:szCs w:val="21"/>
        </w:rPr>
      </w:pPr>
      <w:r>
        <w:rPr>
          <w:rFonts w:hint="eastAsia" w:ascii="宋体" w:hAnsi="宋体" w:cs="MingLiU"/>
          <w:snapToGrid w:val="0"/>
          <w:color w:val="auto"/>
          <w:szCs w:val="21"/>
          <w:u w:val="single"/>
        </w:rPr>
        <w:tab/>
      </w:r>
      <w:r>
        <w:rPr>
          <w:rFonts w:hint="eastAsia" w:ascii="宋体" w:hAnsi="宋体" w:cs="MingLiU"/>
          <w:snapToGrid w:val="0"/>
          <w:color w:val="auto"/>
          <w:szCs w:val="21"/>
        </w:rPr>
        <w:t>（招标人名称）：</w:t>
      </w:r>
    </w:p>
    <w:p w14:paraId="5E429080">
      <w:pPr>
        <w:spacing w:line="480" w:lineRule="auto"/>
        <w:jc w:val="left"/>
        <w:rPr>
          <w:rFonts w:hint="default" w:ascii="宋体" w:hAnsi="宋体" w:cs="MingLiU"/>
          <w:snapToGrid w:val="0"/>
          <w:color w:val="auto"/>
          <w:szCs w:val="21"/>
          <w:lang w:val="en-US" w:eastAsia="zh-CN"/>
        </w:rPr>
      </w:pPr>
      <w:r>
        <w:rPr>
          <w:rFonts w:hint="eastAsia" w:ascii="宋体" w:hAnsi="宋体" w:cs="MingLiU"/>
          <w:snapToGrid w:val="0"/>
          <w:color w:val="auto"/>
          <w:szCs w:val="21"/>
          <w:lang w:val="en-US" w:eastAsia="zh-CN"/>
        </w:rPr>
        <w:t xml:space="preserve">     我单位</w:t>
      </w:r>
      <w:r>
        <w:rPr>
          <w:rFonts w:hint="eastAsia" w:ascii="宋体" w:hAnsi="宋体" w:cs="MingLiU"/>
          <w:snapToGrid w:val="0"/>
          <w:color w:val="auto"/>
          <w:szCs w:val="21"/>
          <w:u w:val="single"/>
          <w:lang w:val="en-US" w:eastAsia="zh-CN"/>
        </w:rPr>
        <w:t xml:space="preserve">            </w:t>
      </w:r>
      <w:r>
        <w:rPr>
          <w:rFonts w:hint="eastAsia" w:ascii="宋体" w:hAnsi="宋体" w:cs="MingLiU"/>
          <w:snapToGrid w:val="0"/>
          <w:color w:val="auto"/>
          <w:szCs w:val="21"/>
          <w:lang w:val="en-US" w:eastAsia="zh-CN"/>
        </w:rPr>
        <w:t xml:space="preserve">（投标人全称）在充分理解 </w:t>
      </w:r>
      <w:r>
        <w:rPr>
          <w:rFonts w:hint="eastAsia" w:ascii="宋体" w:hAnsi="宋体" w:cs="MingLiU"/>
          <w:snapToGrid w:val="0"/>
          <w:color w:val="auto"/>
          <w:szCs w:val="21"/>
          <w:u w:val="single"/>
          <w:lang w:val="en-US" w:eastAsia="zh-CN"/>
        </w:rPr>
        <w:t xml:space="preserve">                   </w:t>
      </w:r>
      <w:r>
        <w:rPr>
          <w:rFonts w:hint="eastAsia" w:ascii="宋体" w:hAnsi="宋体" w:cs="MingLiU"/>
          <w:snapToGrid w:val="0"/>
          <w:color w:val="auto"/>
          <w:szCs w:val="21"/>
          <w:lang w:val="en-US" w:eastAsia="zh-CN"/>
        </w:rPr>
        <w:t>（项目名称）竞争性谈判文件要求的基础上，郑重作出如下承诺，并愿意承担相应的法律责任：</w:t>
      </w:r>
    </w:p>
    <w:p w14:paraId="3ACFA461">
      <w:pPr>
        <w:tabs>
          <w:tab w:val="left" w:pos="2655"/>
          <w:tab w:val="left" w:pos="2760"/>
          <w:tab w:val="left" w:pos="4500"/>
          <w:tab w:val="left" w:pos="5715"/>
          <w:tab w:val="left" w:pos="6945"/>
          <w:tab w:val="left" w:pos="8505"/>
        </w:tabs>
        <w:autoSpaceDE w:val="0"/>
        <w:autoSpaceDN w:val="0"/>
        <w:adjustRightInd w:val="0"/>
        <w:spacing w:line="480" w:lineRule="auto"/>
        <w:ind w:left="120" w:leftChars="57" w:right="94" w:firstLine="420" w:firstLineChars="200"/>
        <w:rPr>
          <w:rFonts w:hint="eastAsia" w:ascii="宋体" w:hAnsi="宋体" w:cs="MingLiU"/>
          <w:snapToGrid w:val="0"/>
          <w:color w:val="auto"/>
          <w:szCs w:val="21"/>
        </w:rPr>
      </w:pPr>
      <w:r>
        <w:rPr>
          <w:rFonts w:hint="eastAsia" w:ascii="宋体" w:hAnsi="宋体" w:cs="MingLiU"/>
          <w:snapToGrid w:val="0"/>
          <w:color w:val="auto"/>
          <w:szCs w:val="21"/>
        </w:rPr>
        <w:t>（</w:t>
      </w:r>
      <w:r>
        <w:rPr>
          <w:rFonts w:hint="eastAsia" w:ascii="宋体" w:hAnsi="宋体" w:cs="MingLiU"/>
          <w:snapToGrid w:val="0"/>
          <w:color w:val="auto"/>
          <w:szCs w:val="21"/>
          <w:lang w:val="en-US" w:eastAsia="zh-CN"/>
        </w:rPr>
        <w:t>一</w:t>
      </w:r>
      <w:r>
        <w:rPr>
          <w:rFonts w:hint="eastAsia" w:ascii="宋体" w:hAnsi="宋体" w:cs="MingLiU"/>
          <w:snapToGrid w:val="0"/>
          <w:color w:val="auto"/>
          <w:szCs w:val="21"/>
        </w:rPr>
        <w:t>）具有良好的商业信誉和健全的财务会计制度；</w:t>
      </w:r>
    </w:p>
    <w:p w14:paraId="5BDE79B0">
      <w:pPr>
        <w:tabs>
          <w:tab w:val="left" w:pos="2655"/>
          <w:tab w:val="left" w:pos="2760"/>
          <w:tab w:val="left" w:pos="4500"/>
          <w:tab w:val="left" w:pos="5715"/>
          <w:tab w:val="left" w:pos="6945"/>
          <w:tab w:val="left" w:pos="8505"/>
        </w:tabs>
        <w:autoSpaceDE w:val="0"/>
        <w:autoSpaceDN w:val="0"/>
        <w:adjustRightInd w:val="0"/>
        <w:spacing w:line="480" w:lineRule="auto"/>
        <w:ind w:left="120" w:leftChars="57" w:right="94" w:firstLine="420" w:firstLineChars="200"/>
        <w:rPr>
          <w:rFonts w:hint="eastAsia" w:ascii="宋体" w:hAnsi="宋体" w:cs="MingLiU"/>
          <w:snapToGrid w:val="0"/>
          <w:color w:val="auto"/>
          <w:szCs w:val="21"/>
        </w:rPr>
      </w:pPr>
      <w:r>
        <w:rPr>
          <w:rFonts w:hint="eastAsia" w:ascii="宋体" w:hAnsi="宋体" w:cs="MingLiU"/>
          <w:snapToGrid w:val="0"/>
          <w:color w:val="auto"/>
          <w:szCs w:val="21"/>
        </w:rPr>
        <w:t>（</w:t>
      </w:r>
      <w:r>
        <w:rPr>
          <w:rFonts w:hint="eastAsia" w:ascii="宋体" w:hAnsi="宋体" w:cs="MingLiU"/>
          <w:snapToGrid w:val="0"/>
          <w:color w:val="auto"/>
          <w:szCs w:val="21"/>
          <w:lang w:val="en-US" w:eastAsia="zh-CN"/>
        </w:rPr>
        <w:t>二</w:t>
      </w:r>
      <w:r>
        <w:rPr>
          <w:rFonts w:hint="eastAsia" w:ascii="宋体" w:hAnsi="宋体" w:cs="MingLiU"/>
          <w:snapToGrid w:val="0"/>
          <w:color w:val="auto"/>
          <w:szCs w:val="21"/>
        </w:rPr>
        <w:t>）具有履行合同所必需的设备和专业技术能力；</w:t>
      </w:r>
    </w:p>
    <w:p w14:paraId="3C34E2EE">
      <w:pPr>
        <w:tabs>
          <w:tab w:val="left" w:pos="2655"/>
          <w:tab w:val="left" w:pos="2760"/>
          <w:tab w:val="left" w:pos="4500"/>
          <w:tab w:val="left" w:pos="5715"/>
          <w:tab w:val="left" w:pos="6945"/>
          <w:tab w:val="left" w:pos="8505"/>
        </w:tabs>
        <w:autoSpaceDE w:val="0"/>
        <w:autoSpaceDN w:val="0"/>
        <w:adjustRightInd w:val="0"/>
        <w:spacing w:line="480" w:lineRule="auto"/>
        <w:ind w:left="120" w:leftChars="57" w:right="94" w:firstLine="420" w:firstLineChars="200"/>
        <w:rPr>
          <w:rFonts w:hint="eastAsia" w:ascii="宋体" w:hAnsi="宋体" w:cs="MingLiU"/>
          <w:snapToGrid w:val="0"/>
          <w:color w:val="auto"/>
          <w:szCs w:val="21"/>
        </w:rPr>
      </w:pPr>
      <w:r>
        <w:rPr>
          <w:rFonts w:hint="eastAsia" w:ascii="宋体" w:hAnsi="宋体" w:cs="MingLiU"/>
          <w:snapToGrid w:val="0"/>
          <w:color w:val="auto"/>
          <w:szCs w:val="21"/>
        </w:rPr>
        <w:t>（</w:t>
      </w:r>
      <w:r>
        <w:rPr>
          <w:rFonts w:hint="eastAsia" w:ascii="宋体" w:hAnsi="宋体" w:cs="MingLiU"/>
          <w:snapToGrid w:val="0"/>
          <w:color w:val="auto"/>
          <w:szCs w:val="21"/>
          <w:lang w:val="en-US" w:eastAsia="zh-CN"/>
        </w:rPr>
        <w:t>三</w:t>
      </w:r>
      <w:r>
        <w:rPr>
          <w:rFonts w:hint="eastAsia" w:ascii="宋体" w:hAnsi="宋体" w:cs="MingLiU"/>
          <w:snapToGrid w:val="0"/>
          <w:color w:val="auto"/>
          <w:szCs w:val="21"/>
        </w:rPr>
        <w:t>）有依法缴纳税收和社会保障金的良好记录；</w:t>
      </w:r>
    </w:p>
    <w:p w14:paraId="0E9AB685">
      <w:pPr>
        <w:tabs>
          <w:tab w:val="left" w:pos="2655"/>
          <w:tab w:val="left" w:pos="2760"/>
          <w:tab w:val="left" w:pos="4500"/>
          <w:tab w:val="left" w:pos="5715"/>
          <w:tab w:val="left" w:pos="6945"/>
          <w:tab w:val="left" w:pos="8505"/>
        </w:tabs>
        <w:autoSpaceDE w:val="0"/>
        <w:autoSpaceDN w:val="0"/>
        <w:adjustRightInd w:val="0"/>
        <w:spacing w:line="480" w:lineRule="auto"/>
        <w:ind w:left="120" w:leftChars="57" w:right="94" w:firstLine="420" w:firstLineChars="200"/>
        <w:rPr>
          <w:rFonts w:hint="eastAsia" w:ascii="宋体" w:hAnsi="宋体" w:cs="MingLiU"/>
          <w:snapToGrid w:val="0"/>
          <w:color w:val="auto"/>
          <w:szCs w:val="21"/>
        </w:rPr>
      </w:pPr>
      <w:r>
        <w:rPr>
          <w:rFonts w:hint="eastAsia" w:ascii="宋体" w:hAnsi="宋体" w:cs="MingLiU"/>
          <w:snapToGrid w:val="0"/>
          <w:color w:val="auto"/>
          <w:szCs w:val="21"/>
        </w:rPr>
        <w:t>（</w:t>
      </w:r>
      <w:r>
        <w:rPr>
          <w:rFonts w:hint="eastAsia" w:ascii="宋体" w:hAnsi="宋体" w:cs="MingLiU"/>
          <w:snapToGrid w:val="0"/>
          <w:color w:val="auto"/>
          <w:szCs w:val="21"/>
          <w:lang w:val="en-US" w:eastAsia="zh-CN"/>
        </w:rPr>
        <w:t>四</w:t>
      </w:r>
      <w:r>
        <w:rPr>
          <w:rFonts w:hint="eastAsia" w:ascii="宋体" w:hAnsi="宋体" w:cs="MingLiU"/>
          <w:snapToGrid w:val="0"/>
          <w:color w:val="auto"/>
          <w:szCs w:val="21"/>
        </w:rPr>
        <w:t>）参加采购活动前三年内，在经营活动中没有重大违法记录；</w:t>
      </w:r>
    </w:p>
    <w:p w14:paraId="770A0DC4">
      <w:pPr>
        <w:tabs>
          <w:tab w:val="left" w:pos="2655"/>
          <w:tab w:val="left" w:pos="2760"/>
          <w:tab w:val="left" w:pos="4500"/>
          <w:tab w:val="left" w:pos="5715"/>
          <w:tab w:val="left" w:pos="6945"/>
          <w:tab w:val="left" w:pos="8505"/>
        </w:tabs>
        <w:autoSpaceDE w:val="0"/>
        <w:autoSpaceDN w:val="0"/>
        <w:adjustRightInd w:val="0"/>
        <w:spacing w:line="480" w:lineRule="auto"/>
        <w:ind w:left="120" w:leftChars="57" w:right="94" w:firstLine="420" w:firstLineChars="200"/>
        <w:rPr>
          <w:rFonts w:hint="eastAsia" w:ascii="宋体" w:hAnsi="宋体" w:cs="MingLiU"/>
          <w:snapToGrid w:val="0"/>
          <w:color w:val="auto"/>
          <w:szCs w:val="21"/>
        </w:rPr>
      </w:pPr>
      <w:r>
        <w:rPr>
          <w:rFonts w:hint="eastAsia" w:ascii="宋体" w:hAnsi="宋体" w:cs="MingLiU"/>
          <w:snapToGrid w:val="0"/>
          <w:color w:val="auto"/>
          <w:szCs w:val="21"/>
        </w:rPr>
        <w:t>（</w:t>
      </w:r>
      <w:r>
        <w:rPr>
          <w:rFonts w:hint="eastAsia" w:ascii="宋体" w:hAnsi="宋体" w:cs="MingLiU"/>
          <w:snapToGrid w:val="0"/>
          <w:color w:val="auto"/>
          <w:szCs w:val="21"/>
          <w:lang w:val="en-US" w:eastAsia="zh-CN"/>
        </w:rPr>
        <w:t>五</w:t>
      </w:r>
      <w:r>
        <w:rPr>
          <w:rFonts w:hint="eastAsia" w:ascii="宋体" w:hAnsi="宋体" w:cs="MingLiU"/>
          <w:snapToGrid w:val="0"/>
          <w:color w:val="auto"/>
          <w:szCs w:val="21"/>
        </w:rPr>
        <w:t>）本次</w:t>
      </w:r>
      <w:r>
        <w:rPr>
          <w:rFonts w:hint="eastAsia" w:ascii="宋体" w:hAnsi="宋体" w:cs="MingLiU"/>
          <w:snapToGrid w:val="0"/>
          <w:color w:val="auto"/>
          <w:szCs w:val="21"/>
          <w:lang w:val="en-US" w:eastAsia="zh-CN"/>
        </w:rPr>
        <w:t>投</w:t>
      </w:r>
      <w:r>
        <w:rPr>
          <w:rFonts w:hint="eastAsia" w:ascii="宋体" w:hAnsi="宋体" w:cs="MingLiU"/>
          <w:snapToGrid w:val="0"/>
          <w:color w:val="auto"/>
          <w:szCs w:val="21"/>
        </w:rPr>
        <w:t>标不</w:t>
      </w:r>
      <w:r>
        <w:rPr>
          <w:rFonts w:hint="eastAsia" w:ascii="宋体" w:hAnsi="宋体" w:cs="MingLiU"/>
          <w:snapToGrid w:val="0"/>
          <w:color w:val="auto"/>
          <w:szCs w:val="21"/>
          <w:lang w:val="en-US" w:eastAsia="zh-CN"/>
        </w:rPr>
        <w:t>采用</w:t>
      </w:r>
      <w:r>
        <w:rPr>
          <w:rFonts w:hint="eastAsia" w:ascii="宋体" w:hAnsi="宋体" w:cs="MingLiU"/>
          <w:snapToGrid w:val="0"/>
          <w:color w:val="auto"/>
          <w:szCs w:val="21"/>
        </w:rPr>
        <w:t>联合体投标，中选后不分包、转包。</w:t>
      </w:r>
    </w:p>
    <w:p w14:paraId="2FE08E72">
      <w:pPr>
        <w:tabs>
          <w:tab w:val="left" w:pos="2655"/>
          <w:tab w:val="left" w:pos="2760"/>
          <w:tab w:val="left" w:pos="4500"/>
          <w:tab w:val="left" w:pos="5715"/>
          <w:tab w:val="left" w:pos="6945"/>
          <w:tab w:val="left" w:pos="8505"/>
        </w:tabs>
        <w:autoSpaceDE w:val="0"/>
        <w:autoSpaceDN w:val="0"/>
        <w:adjustRightInd w:val="0"/>
        <w:spacing w:line="480" w:lineRule="auto"/>
        <w:ind w:left="120" w:leftChars="57" w:right="94" w:firstLine="420" w:firstLineChars="200"/>
        <w:rPr>
          <w:rFonts w:hint="eastAsia" w:ascii="宋体" w:hAnsi="宋体" w:cs="MingLiU"/>
          <w:snapToGrid w:val="0"/>
          <w:color w:val="auto"/>
          <w:szCs w:val="21"/>
        </w:rPr>
      </w:pPr>
    </w:p>
    <w:p w14:paraId="4C67BA9E">
      <w:pPr>
        <w:tabs>
          <w:tab w:val="left" w:pos="7140"/>
          <w:tab w:val="left" w:pos="7560"/>
          <w:tab w:val="left" w:pos="8300"/>
        </w:tabs>
        <w:autoSpaceDE w:val="0"/>
        <w:autoSpaceDN w:val="0"/>
        <w:adjustRightInd w:val="0"/>
        <w:ind w:right="210" w:firstLine="1984" w:firstLineChars="945"/>
        <w:rPr>
          <w:rFonts w:hint="eastAsia" w:ascii="宋体" w:hAnsi="宋体" w:eastAsiaTheme="minorEastAsia"/>
          <w:snapToGrid w:val="0"/>
          <w:color w:val="auto"/>
          <w:szCs w:val="21"/>
          <w:lang w:eastAsia="zh-CN"/>
        </w:rPr>
      </w:pPr>
      <w:r>
        <w:rPr>
          <w:rFonts w:hint="eastAsia" w:ascii="宋体" w:hAnsi="宋体" w:cs="MingLiU"/>
          <w:snapToGrid w:val="0"/>
          <w:color w:val="auto"/>
          <w:szCs w:val="21"/>
          <w:lang w:val="en-US" w:eastAsia="zh-CN"/>
        </w:rPr>
        <w:t xml:space="preserve">                         </w:t>
      </w:r>
      <w:r>
        <w:rPr>
          <w:rFonts w:hint="eastAsia" w:ascii="宋体" w:hAnsi="宋体" w:cs="MingLiU"/>
          <w:snapToGrid w:val="0"/>
          <w:color w:val="auto"/>
          <w:szCs w:val="21"/>
        </w:rPr>
        <w:t>投标人：</w:t>
      </w:r>
      <w:r>
        <w:rPr>
          <w:rFonts w:hint="eastAsia" w:ascii="宋体" w:hAnsi="宋体" w:cs="MingLiU"/>
          <w:snapToGrid w:val="0"/>
          <w:color w:val="auto"/>
          <w:szCs w:val="21"/>
          <w:u w:val="single"/>
        </w:rPr>
        <w:t>　　</w:t>
      </w:r>
      <w:r>
        <w:rPr>
          <w:rFonts w:hint="eastAsia" w:ascii="宋体" w:hAnsi="宋体" w:cs="MingLiU"/>
          <w:snapToGrid w:val="0"/>
          <w:color w:val="auto"/>
          <w:szCs w:val="21"/>
          <w:u w:val="single"/>
          <w:lang w:val="en-US" w:eastAsia="zh-CN"/>
        </w:rPr>
        <w:t xml:space="preserve">      </w:t>
      </w:r>
      <w:r>
        <w:rPr>
          <w:rFonts w:hint="eastAsia" w:ascii="宋体" w:hAnsi="宋体" w:cs="MingLiU"/>
          <w:snapToGrid w:val="0"/>
          <w:color w:val="auto"/>
          <w:szCs w:val="21"/>
          <w:u w:val="single"/>
        </w:rPr>
        <w:t>　　　</w:t>
      </w:r>
      <w:r>
        <w:rPr>
          <w:rFonts w:hint="eastAsia" w:ascii="宋体" w:hAnsi="宋体" w:cs="MingLiU"/>
          <w:snapToGrid w:val="0"/>
          <w:color w:val="auto"/>
          <w:szCs w:val="21"/>
        </w:rPr>
        <w:t>（盖单位章）</w:t>
      </w:r>
    </w:p>
    <w:p w14:paraId="69614FB2">
      <w:pPr>
        <w:tabs>
          <w:tab w:val="left" w:pos="7140"/>
          <w:tab w:val="left" w:pos="7560"/>
          <w:tab w:val="left" w:pos="8300"/>
        </w:tabs>
        <w:autoSpaceDE w:val="0"/>
        <w:autoSpaceDN w:val="0"/>
        <w:adjustRightInd w:val="0"/>
        <w:ind w:right="210" w:firstLine="1984" w:firstLineChars="945"/>
        <w:rPr>
          <w:rFonts w:ascii="宋体" w:hAnsi="宋体"/>
          <w:snapToGrid w:val="0"/>
          <w:color w:val="auto"/>
          <w:szCs w:val="21"/>
        </w:rPr>
      </w:pPr>
    </w:p>
    <w:p w14:paraId="69CA1D9A">
      <w:pPr>
        <w:tabs>
          <w:tab w:val="left" w:pos="7140"/>
          <w:tab w:val="left" w:pos="7560"/>
          <w:tab w:val="left" w:pos="8300"/>
        </w:tabs>
        <w:autoSpaceDE w:val="0"/>
        <w:autoSpaceDN w:val="0"/>
        <w:adjustRightInd w:val="0"/>
        <w:ind w:right="210" w:firstLine="4515" w:firstLineChars="2150"/>
        <w:rPr>
          <w:rFonts w:hint="eastAsia" w:ascii="宋体" w:hAnsi="宋体" w:cs="MingLiU"/>
          <w:snapToGrid w:val="0"/>
          <w:color w:val="auto"/>
          <w:szCs w:val="21"/>
        </w:rPr>
      </w:pPr>
    </w:p>
    <w:p w14:paraId="56A0B60C">
      <w:pPr>
        <w:tabs>
          <w:tab w:val="left" w:pos="7140"/>
          <w:tab w:val="left" w:pos="7560"/>
          <w:tab w:val="left" w:pos="8300"/>
        </w:tabs>
        <w:autoSpaceDE w:val="0"/>
        <w:autoSpaceDN w:val="0"/>
        <w:adjustRightInd w:val="0"/>
        <w:ind w:right="210" w:firstLine="4515" w:firstLineChars="2150"/>
        <w:rPr>
          <w:rFonts w:hint="eastAsia" w:ascii="宋体" w:hAnsi="宋体" w:eastAsiaTheme="minorEastAsia"/>
          <w:snapToGrid w:val="0"/>
          <w:color w:val="auto"/>
          <w:szCs w:val="21"/>
          <w:lang w:eastAsia="zh-CN"/>
        </w:rPr>
      </w:pPr>
      <w:r>
        <w:rPr>
          <w:rFonts w:hint="eastAsia" w:ascii="宋体" w:hAnsi="宋体" w:cs="MingLiU"/>
          <w:snapToGrid w:val="0"/>
          <w:color w:val="auto"/>
          <w:szCs w:val="21"/>
        </w:rPr>
        <w:t>法定代表人或其委托代理人：（签字）</w:t>
      </w:r>
    </w:p>
    <w:p w14:paraId="061CE391">
      <w:pPr>
        <w:tabs>
          <w:tab w:val="left" w:pos="7140"/>
          <w:tab w:val="left" w:pos="7560"/>
          <w:tab w:val="left" w:pos="8300"/>
        </w:tabs>
        <w:autoSpaceDE w:val="0"/>
        <w:autoSpaceDN w:val="0"/>
        <w:adjustRightInd w:val="0"/>
        <w:ind w:right="210" w:firstLine="1995" w:firstLineChars="950"/>
        <w:rPr>
          <w:rFonts w:ascii="宋体" w:hAnsi="宋体"/>
          <w:snapToGrid w:val="0"/>
          <w:color w:val="auto"/>
          <w:szCs w:val="21"/>
        </w:rPr>
      </w:pPr>
    </w:p>
    <w:p w14:paraId="036078CF">
      <w:pPr>
        <w:autoSpaceDE w:val="0"/>
        <w:autoSpaceDN w:val="0"/>
        <w:adjustRightInd w:val="0"/>
        <w:spacing w:before="14" w:line="240" w:lineRule="exact"/>
        <w:rPr>
          <w:rFonts w:ascii="宋体" w:hAnsi="宋体" w:cs="MingLiU"/>
          <w:snapToGrid w:val="0"/>
          <w:color w:val="auto"/>
          <w:sz w:val="24"/>
        </w:rPr>
      </w:pPr>
    </w:p>
    <w:p w14:paraId="2C4A0820">
      <w:pPr>
        <w:tabs>
          <w:tab w:val="left" w:pos="6000"/>
          <w:tab w:val="left" w:pos="7040"/>
          <w:tab w:val="left" w:pos="8100"/>
        </w:tabs>
        <w:autoSpaceDE w:val="0"/>
        <w:autoSpaceDN w:val="0"/>
        <w:adjustRightInd w:val="0"/>
        <w:ind w:right="-20" w:firstLine="5974" w:firstLineChars="2845"/>
        <w:rPr>
          <w:rFonts w:ascii="宋体" w:hAnsi="宋体" w:cs="MingLiU"/>
          <w:snapToGrid w:val="0"/>
          <w:color w:val="auto"/>
          <w:szCs w:val="21"/>
        </w:rPr>
      </w:pPr>
      <w:r>
        <w:rPr>
          <w:rFonts w:hint="eastAsia" w:ascii="宋体" w:hAnsi="宋体" w:cs="MingLiU"/>
          <w:snapToGrid w:val="0"/>
          <w:color w:val="auto"/>
          <w:szCs w:val="21"/>
        </w:rPr>
        <w:t>年</w:t>
      </w:r>
      <w:r>
        <w:rPr>
          <w:rFonts w:hint="eastAsia" w:ascii="宋体" w:hAnsi="宋体" w:cs="MingLiU"/>
          <w:snapToGrid w:val="0"/>
          <w:color w:val="auto"/>
          <w:szCs w:val="21"/>
          <w:lang w:val="en-US" w:eastAsia="zh-CN"/>
        </w:rPr>
        <w:t xml:space="preserve">  </w:t>
      </w:r>
      <w:r>
        <w:rPr>
          <w:rFonts w:hint="eastAsia" w:ascii="宋体" w:hAnsi="宋体" w:cs="MingLiU"/>
          <w:snapToGrid w:val="0"/>
          <w:color w:val="auto"/>
          <w:szCs w:val="21"/>
        </w:rPr>
        <w:t>月</w:t>
      </w:r>
      <w:r>
        <w:rPr>
          <w:rFonts w:hint="eastAsia" w:ascii="宋体" w:hAnsi="宋体" w:cs="MingLiU"/>
          <w:snapToGrid w:val="0"/>
          <w:color w:val="auto"/>
          <w:szCs w:val="21"/>
          <w:lang w:val="en-US" w:eastAsia="zh-CN"/>
        </w:rPr>
        <w:t xml:space="preserve">  </w:t>
      </w:r>
      <w:r>
        <w:rPr>
          <w:rFonts w:hint="eastAsia" w:ascii="宋体" w:hAnsi="宋体" w:cs="MingLiU"/>
          <w:snapToGrid w:val="0"/>
          <w:color w:val="auto"/>
          <w:szCs w:val="21"/>
        </w:rPr>
        <w:t>日</w:t>
      </w:r>
    </w:p>
    <w:p w14:paraId="414081D5">
      <w:pPr>
        <w:rPr>
          <w:rFonts w:ascii="方正仿宋_GBK" w:hAnsi="宋体" w:eastAsia="方正仿宋_GBK"/>
          <w:color w:val="auto"/>
          <w:sz w:val="24"/>
        </w:rPr>
      </w:pPr>
    </w:p>
    <w:p w14:paraId="2C08DA62">
      <w:pPr>
        <w:rPr>
          <w:rFonts w:ascii="方正仿宋_GBK" w:hAnsi="宋体" w:eastAsia="方正仿宋_GBK"/>
          <w:color w:val="auto"/>
          <w:sz w:val="24"/>
        </w:rPr>
      </w:pPr>
    </w:p>
    <w:p w14:paraId="444AA772">
      <w:pPr>
        <w:rPr>
          <w:rFonts w:ascii="方正仿宋_GBK" w:hAnsi="宋体" w:eastAsia="方正仿宋_GBK"/>
          <w:color w:val="auto"/>
          <w:sz w:val="24"/>
        </w:rPr>
      </w:pPr>
    </w:p>
    <w:p w14:paraId="222E2597">
      <w:pPr>
        <w:rPr>
          <w:rFonts w:ascii="方正仿宋_GBK" w:hAnsi="宋体" w:eastAsia="方正仿宋_GBK"/>
          <w:color w:val="auto"/>
          <w:sz w:val="24"/>
        </w:rPr>
      </w:pPr>
    </w:p>
    <w:p w14:paraId="1202CADE">
      <w:pPr>
        <w:rPr>
          <w:rFonts w:ascii="方正仿宋_GBK" w:hAnsi="宋体" w:eastAsia="方正仿宋_GBK"/>
          <w:color w:val="auto"/>
          <w:sz w:val="24"/>
        </w:rPr>
      </w:pPr>
    </w:p>
    <w:p w14:paraId="140A4340">
      <w:pPr>
        <w:rPr>
          <w:rFonts w:ascii="方正仿宋_GBK" w:hAnsi="宋体" w:eastAsia="方正仿宋_GBK"/>
          <w:color w:val="auto"/>
          <w:sz w:val="24"/>
        </w:rPr>
      </w:pPr>
    </w:p>
    <w:p w14:paraId="433C03C0">
      <w:pPr>
        <w:rPr>
          <w:rFonts w:ascii="方正仿宋_GBK" w:hAnsi="宋体" w:eastAsia="方正仿宋_GBK"/>
          <w:color w:val="auto"/>
          <w:sz w:val="24"/>
        </w:rPr>
      </w:pPr>
    </w:p>
    <w:p w14:paraId="40D4AE3B">
      <w:pPr>
        <w:outlineLvl w:val="0"/>
        <w:rPr>
          <w:rFonts w:hint="default" w:ascii="宋体" w:hAnsi="宋体"/>
          <w:b/>
          <w:color w:val="auto"/>
          <w:sz w:val="28"/>
          <w:szCs w:val="28"/>
          <w:lang w:val="en-US" w:eastAsia="zh-CN"/>
        </w:rPr>
      </w:pPr>
      <w:r>
        <w:rPr>
          <w:rFonts w:hint="eastAsia" w:ascii="宋体" w:hAnsi="宋体"/>
          <w:b/>
          <w:color w:val="auto"/>
          <w:sz w:val="28"/>
          <w:szCs w:val="28"/>
          <w:lang w:val="en-US" w:eastAsia="zh-CN"/>
        </w:rPr>
        <w:t>附件4：</w:t>
      </w:r>
    </w:p>
    <w:p w14:paraId="073D8529">
      <w:pPr>
        <w:jc w:val="center"/>
        <w:rPr>
          <w:rFonts w:hint="default" w:ascii="方正仿宋_GBK" w:hAnsi="宋体" w:eastAsia="方正仿宋_GBK"/>
          <w:b/>
          <w:bCs/>
          <w:color w:val="auto"/>
          <w:sz w:val="24"/>
          <w:lang w:val="en-US"/>
        </w:rPr>
      </w:pPr>
      <w:r>
        <w:rPr>
          <w:rFonts w:hint="eastAsia" w:ascii="方正仿宋_GBK" w:hAnsi="宋体" w:eastAsia="方正仿宋_GBK"/>
          <w:b/>
          <w:bCs/>
          <w:color w:val="auto"/>
          <w:sz w:val="24"/>
          <w:lang w:val="en-US" w:eastAsia="zh-CN"/>
        </w:rPr>
        <w:t>人工智能赋能城市治理综合场景支撑服务清单</w:t>
      </w:r>
    </w:p>
    <w:tbl>
      <w:tblPr>
        <w:tblStyle w:val="1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1060"/>
        <w:gridCol w:w="6393"/>
        <w:gridCol w:w="428"/>
      </w:tblGrid>
      <w:tr w14:paraId="1BFDC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CFB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622" w:type="pct"/>
            <w:tcBorders>
              <w:top w:val="single" w:color="000000" w:sz="4" w:space="0"/>
              <w:left w:val="single" w:color="000000" w:sz="4" w:space="0"/>
              <w:bottom w:val="single" w:color="000000" w:sz="4" w:space="0"/>
              <w:right w:val="nil"/>
            </w:tcBorders>
            <w:shd w:val="clear" w:color="auto" w:fill="auto"/>
            <w:noWrap/>
            <w:vAlign w:val="center"/>
          </w:tcPr>
          <w:p w14:paraId="0E994FF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服务事项</w:t>
            </w:r>
          </w:p>
        </w:tc>
        <w:tc>
          <w:tcPr>
            <w:tcW w:w="3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59C9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服务事项说明</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2405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备注</w:t>
            </w:r>
          </w:p>
        </w:tc>
      </w:tr>
      <w:tr w14:paraId="1A869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60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21235">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多跨事件知识库构建服务</w:t>
            </w:r>
          </w:p>
        </w:tc>
        <w:tc>
          <w:tcPr>
            <w:tcW w:w="3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951F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1.知识清洗。通过工作流对采集到的数据进行清洗和整理，去除重复、错误或过时的信息，确保知识库中的知识准确、有效，为智能分拨和事件处理提供可靠的依据。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2.部门权责清单动态维护。提供部门权责清单的动态更新功能，支持新增、修改、删除部门职责信息，确保平台分拨依据的时效性和准确性。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3.历史案例库实时更新。建立事件处理的历史案例库，记录事件的详细描述、处理过程、处理结果和经验教训，支持案例的分类检索和统计分析。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4.智能检索。构建定制化的召回策略和算法，快速从知识库检索最匹配的信息。</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896F3">
            <w:pPr>
              <w:rPr>
                <w:rFonts w:hint="eastAsia" w:ascii="仿宋" w:hAnsi="仿宋" w:eastAsia="仿宋" w:cs="仿宋"/>
                <w:i w:val="0"/>
                <w:iCs w:val="0"/>
                <w:color w:val="000000"/>
                <w:sz w:val="21"/>
                <w:szCs w:val="21"/>
                <w:u w:val="none"/>
              </w:rPr>
            </w:pPr>
          </w:p>
        </w:tc>
      </w:tr>
      <w:tr w14:paraId="7617F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68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1389E">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多跨事件分派模型构建服务</w:t>
            </w:r>
          </w:p>
        </w:tc>
        <w:tc>
          <w:tcPr>
            <w:tcW w:w="3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EA02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1.智能解析。事件内容结构化解析，自动提取事件描述中的关键信息，构建多维度标签体系，快速识别事件的核心信息和关键要素。</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2.智能推理。通过分析历史事件数据、事件在平台内的流转日志、权责清单和历史处理案例进行智能推理。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3.智能路由。根据部门职责和历史派单记录自动推荐最匹配处理部门或关联业务事项。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4.异常退单人工处理。为用户提供图形界面对退回的事件做手工处理，并展示此前的模型推理结果和流转退回过程供用户参考。</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27130">
            <w:pPr>
              <w:rPr>
                <w:rFonts w:hint="eastAsia" w:ascii="仿宋" w:hAnsi="仿宋" w:eastAsia="仿宋" w:cs="仿宋"/>
                <w:i w:val="0"/>
                <w:iCs w:val="0"/>
                <w:color w:val="000000"/>
                <w:sz w:val="21"/>
                <w:szCs w:val="21"/>
                <w:u w:val="none"/>
              </w:rPr>
            </w:pPr>
          </w:p>
        </w:tc>
      </w:tr>
      <w:tr w14:paraId="149DD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7F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853A4">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智能报表分析服务</w:t>
            </w:r>
          </w:p>
        </w:tc>
        <w:tc>
          <w:tcPr>
            <w:tcW w:w="3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7095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1.事件流转明细。以直观的界面展示预案的详细信息和事件的模型推理记录及流转记录。</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2.统计报表。生成各类统计报表，包括事件分拨准确性、事件处理量、处理时长统计等，通过对报表数据的分析，为管理决策提供数据支持，帮助管理者了解平台运行情况，发现潜在问题，优化资源配置。</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9892B">
            <w:pPr>
              <w:rPr>
                <w:rFonts w:hint="eastAsia" w:ascii="仿宋" w:hAnsi="仿宋" w:eastAsia="仿宋" w:cs="仿宋"/>
                <w:i w:val="0"/>
                <w:iCs w:val="0"/>
                <w:color w:val="000000"/>
                <w:sz w:val="21"/>
                <w:szCs w:val="21"/>
                <w:u w:val="none"/>
              </w:rPr>
            </w:pPr>
          </w:p>
        </w:tc>
      </w:tr>
      <w:tr w14:paraId="40559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B8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68B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技术保障服务</w:t>
            </w:r>
          </w:p>
        </w:tc>
        <w:tc>
          <w:tcPr>
            <w:tcW w:w="37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0CAD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1.镇街上报事件智能预案配置。在三级城运中心对预案的流程、责任人、时间节点等关键要素进行配置。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2.数据治理。系统初始化时对历史数据进行清洗和入库。</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3.模型调优。通过分析运行数据迭代智能分拨模型或策略，不断提升模型的准确性和性能，确保系统能够更好地适应不断变化的事件处理需求，提高智能分拨的效果和效率。</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FB2F0">
            <w:pPr>
              <w:rPr>
                <w:rFonts w:hint="eastAsia" w:ascii="仿宋" w:hAnsi="仿宋" w:eastAsia="仿宋" w:cs="仿宋"/>
                <w:i w:val="0"/>
                <w:iCs w:val="0"/>
                <w:color w:val="000000"/>
                <w:sz w:val="21"/>
                <w:szCs w:val="21"/>
                <w:u w:val="none"/>
              </w:rPr>
            </w:pPr>
          </w:p>
        </w:tc>
      </w:tr>
    </w:tbl>
    <w:p w14:paraId="48D2D2E1">
      <w:pPr>
        <w:jc w:val="left"/>
        <w:rPr>
          <w:rFonts w:hint="default" w:ascii="宋体" w:hAnsi="宋体"/>
          <w:b/>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F8F874E9-03BD-4E41-94E4-9BFC502CF8B6}"/>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auto"/>
    <w:pitch w:val="default"/>
    <w:sig w:usb0="00000001" w:usb1="080E0000" w:usb2="00000000" w:usb3="00000000" w:csb0="00040000" w:csb1="00000000"/>
    <w:embedRegular r:id="rId2" w:fontKey="{431DC0F5-DA4F-4A96-A221-A1DAD6092FED}"/>
  </w:font>
  <w:font w:name="方正仿宋_GB18030">
    <w:altName w:val="仿宋"/>
    <w:panose1 w:val="02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3" w:fontKey="{5420C993-4930-403C-955F-897EF6DEC673}"/>
  </w:font>
  <w:font w:name="方正黑体_GBK">
    <w:panose1 w:val="03000509000000000000"/>
    <w:charset w:val="86"/>
    <w:family w:val="script"/>
    <w:pitch w:val="default"/>
    <w:sig w:usb0="00000001" w:usb1="080E0000" w:usb2="00000000" w:usb3="00000000" w:csb0="00040000" w:csb1="00000000"/>
    <w:embedRegular r:id="rId4" w:fontKey="{7010C232-5EDA-4B14-8DF2-3B404EC5E3F2}"/>
  </w:font>
  <w:font w:name="MingLiU">
    <w:altName w:val="PMingLiU-ExtB"/>
    <w:panose1 w:val="02020509000000000000"/>
    <w:charset w:val="88"/>
    <w:family w:val="modern"/>
    <w:pitch w:val="default"/>
    <w:sig w:usb0="00000000" w:usb1="00000000" w:usb2="00000016" w:usb3="00000000" w:csb0="00100001" w:csb1="00000000"/>
    <w:embedRegular r:id="rId5" w:fontKey="{4CA832CA-3E07-44DA-8FC7-8E67EB54A0AB}"/>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604A07"/>
    <w:multiLevelType w:val="multilevel"/>
    <w:tmpl w:val="44604A07"/>
    <w:lvl w:ilvl="0" w:tentative="0">
      <w:start w:val="1"/>
      <w:numFmt w:val="japaneseCounting"/>
      <w:lvlText w:val="（%1）"/>
      <w:lvlJc w:val="left"/>
      <w:pPr>
        <w:ind w:left="1585" w:hanging="945"/>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5MTI2MWZiOTJjNjA1NGE5MzI0OTdlZDAwY2RmM2YifQ=="/>
    <w:docVar w:name="KSO_WPS_MARK_KEY" w:val="25e30516-0113-45d2-8cb9-35bed4041f3c"/>
  </w:docVars>
  <w:rsids>
    <w:rsidRoot w:val="00FC3AE0"/>
    <w:rsid w:val="00004370"/>
    <w:rsid w:val="00020174"/>
    <w:rsid w:val="00032C6B"/>
    <w:rsid w:val="000406E1"/>
    <w:rsid w:val="000421A4"/>
    <w:rsid w:val="000518F8"/>
    <w:rsid w:val="00061C4E"/>
    <w:rsid w:val="00081468"/>
    <w:rsid w:val="00081658"/>
    <w:rsid w:val="00081E6C"/>
    <w:rsid w:val="000938C1"/>
    <w:rsid w:val="00096276"/>
    <w:rsid w:val="000A0CC0"/>
    <w:rsid w:val="000B0830"/>
    <w:rsid w:val="000C0BE4"/>
    <w:rsid w:val="000C68C7"/>
    <w:rsid w:val="000E114A"/>
    <w:rsid w:val="000F5A15"/>
    <w:rsid w:val="00104C63"/>
    <w:rsid w:val="00120F8B"/>
    <w:rsid w:val="0012341C"/>
    <w:rsid w:val="00147AFE"/>
    <w:rsid w:val="00191AC8"/>
    <w:rsid w:val="001B4796"/>
    <w:rsid w:val="001E023E"/>
    <w:rsid w:val="001E7F2A"/>
    <w:rsid w:val="00230217"/>
    <w:rsid w:val="00231979"/>
    <w:rsid w:val="00242ED3"/>
    <w:rsid w:val="00247D3C"/>
    <w:rsid w:val="0025158B"/>
    <w:rsid w:val="0025775D"/>
    <w:rsid w:val="00260026"/>
    <w:rsid w:val="00272B68"/>
    <w:rsid w:val="00274D31"/>
    <w:rsid w:val="00276D14"/>
    <w:rsid w:val="00282F52"/>
    <w:rsid w:val="00293F6A"/>
    <w:rsid w:val="00297E9F"/>
    <w:rsid w:val="00302274"/>
    <w:rsid w:val="00311B2F"/>
    <w:rsid w:val="00321397"/>
    <w:rsid w:val="003271D7"/>
    <w:rsid w:val="0035050A"/>
    <w:rsid w:val="003533E8"/>
    <w:rsid w:val="00361E33"/>
    <w:rsid w:val="00393544"/>
    <w:rsid w:val="003D164C"/>
    <w:rsid w:val="003E3F54"/>
    <w:rsid w:val="003F4E89"/>
    <w:rsid w:val="004142D8"/>
    <w:rsid w:val="00414E5F"/>
    <w:rsid w:val="00416CBB"/>
    <w:rsid w:val="004213B2"/>
    <w:rsid w:val="004235AC"/>
    <w:rsid w:val="00430373"/>
    <w:rsid w:val="004329F5"/>
    <w:rsid w:val="00446286"/>
    <w:rsid w:val="0046101D"/>
    <w:rsid w:val="00461F62"/>
    <w:rsid w:val="00475060"/>
    <w:rsid w:val="00477F54"/>
    <w:rsid w:val="00492DCB"/>
    <w:rsid w:val="00493360"/>
    <w:rsid w:val="0049614D"/>
    <w:rsid w:val="00496AC9"/>
    <w:rsid w:val="004A126B"/>
    <w:rsid w:val="004D1C32"/>
    <w:rsid w:val="004D7929"/>
    <w:rsid w:val="004E0767"/>
    <w:rsid w:val="004E429C"/>
    <w:rsid w:val="004F49CF"/>
    <w:rsid w:val="0050452A"/>
    <w:rsid w:val="00517332"/>
    <w:rsid w:val="00530F6D"/>
    <w:rsid w:val="005319D6"/>
    <w:rsid w:val="00542122"/>
    <w:rsid w:val="0054422C"/>
    <w:rsid w:val="00545C61"/>
    <w:rsid w:val="005526AC"/>
    <w:rsid w:val="00557381"/>
    <w:rsid w:val="00577DEB"/>
    <w:rsid w:val="005804AA"/>
    <w:rsid w:val="005910B0"/>
    <w:rsid w:val="005B7960"/>
    <w:rsid w:val="005C1C6E"/>
    <w:rsid w:val="005C4296"/>
    <w:rsid w:val="005D3651"/>
    <w:rsid w:val="005F5E61"/>
    <w:rsid w:val="00613888"/>
    <w:rsid w:val="006239C0"/>
    <w:rsid w:val="006267B8"/>
    <w:rsid w:val="00630E31"/>
    <w:rsid w:val="0063523C"/>
    <w:rsid w:val="006710C8"/>
    <w:rsid w:val="00681238"/>
    <w:rsid w:val="006822AB"/>
    <w:rsid w:val="00684F55"/>
    <w:rsid w:val="006A3F79"/>
    <w:rsid w:val="006B2A18"/>
    <w:rsid w:val="006D1EEE"/>
    <w:rsid w:val="006D7FE4"/>
    <w:rsid w:val="006E0941"/>
    <w:rsid w:val="006E1933"/>
    <w:rsid w:val="0070239D"/>
    <w:rsid w:val="00725200"/>
    <w:rsid w:val="00757609"/>
    <w:rsid w:val="00764AF5"/>
    <w:rsid w:val="007832B0"/>
    <w:rsid w:val="0078634D"/>
    <w:rsid w:val="00794419"/>
    <w:rsid w:val="00796635"/>
    <w:rsid w:val="007B0882"/>
    <w:rsid w:val="007B755E"/>
    <w:rsid w:val="007C056A"/>
    <w:rsid w:val="007C2C01"/>
    <w:rsid w:val="007C2E24"/>
    <w:rsid w:val="007D0C87"/>
    <w:rsid w:val="007D7CA6"/>
    <w:rsid w:val="007E2403"/>
    <w:rsid w:val="007F249B"/>
    <w:rsid w:val="007F2C94"/>
    <w:rsid w:val="00803786"/>
    <w:rsid w:val="00804834"/>
    <w:rsid w:val="008123D2"/>
    <w:rsid w:val="00816891"/>
    <w:rsid w:val="00823D9A"/>
    <w:rsid w:val="00833FB7"/>
    <w:rsid w:val="00836640"/>
    <w:rsid w:val="00857F88"/>
    <w:rsid w:val="0086770F"/>
    <w:rsid w:val="008705C5"/>
    <w:rsid w:val="0087267F"/>
    <w:rsid w:val="00872FAD"/>
    <w:rsid w:val="008879F8"/>
    <w:rsid w:val="008B64F1"/>
    <w:rsid w:val="008D2267"/>
    <w:rsid w:val="008E2555"/>
    <w:rsid w:val="008E6BAA"/>
    <w:rsid w:val="008F5AFB"/>
    <w:rsid w:val="00910886"/>
    <w:rsid w:val="00927B06"/>
    <w:rsid w:val="00942BB2"/>
    <w:rsid w:val="00953804"/>
    <w:rsid w:val="00955A92"/>
    <w:rsid w:val="009963D0"/>
    <w:rsid w:val="009A03ED"/>
    <w:rsid w:val="009A4A9F"/>
    <w:rsid w:val="009B5560"/>
    <w:rsid w:val="009B6B14"/>
    <w:rsid w:val="009D126A"/>
    <w:rsid w:val="009D1CD3"/>
    <w:rsid w:val="009D3D31"/>
    <w:rsid w:val="009F294B"/>
    <w:rsid w:val="00A030DD"/>
    <w:rsid w:val="00A03A6A"/>
    <w:rsid w:val="00A2396C"/>
    <w:rsid w:val="00A23D00"/>
    <w:rsid w:val="00A37C4E"/>
    <w:rsid w:val="00A6029B"/>
    <w:rsid w:val="00A733AC"/>
    <w:rsid w:val="00A90061"/>
    <w:rsid w:val="00A913CD"/>
    <w:rsid w:val="00A939BC"/>
    <w:rsid w:val="00A93DDB"/>
    <w:rsid w:val="00A95D8C"/>
    <w:rsid w:val="00AC49E9"/>
    <w:rsid w:val="00AC77F1"/>
    <w:rsid w:val="00AD06CE"/>
    <w:rsid w:val="00AE17AF"/>
    <w:rsid w:val="00AE2C4A"/>
    <w:rsid w:val="00AE624D"/>
    <w:rsid w:val="00AF07F9"/>
    <w:rsid w:val="00AF4012"/>
    <w:rsid w:val="00AF4EDA"/>
    <w:rsid w:val="00AF5AEE"/>
    <w:rsid w:val="00B03B4F"/>
    <w:rsid w:val="00B12F34"/>
    <w:rsid w:val="00B22B9B"/>
    <w:rsid w:val="00B2451E"/>
    <w:rsid w:val="00B368EB"/>
    <w:rsid w:val="00B5282D"/>
    <w:rsid w:val="00B721EC"/>
    <w:rsid w:val="00B74938"/>
    <w:rsid w:val="00B85554"/>
    <w:rsid w:val="00B959E0"/>
    <w:rsid w:val="00BC4EDA"/>
    <w:rsid w:val="00BC7D74"/>
    <w:rsid w:val="00BD110B"/>
    <w:rsid w:val="00BE3B30"/>
    <w:rsid w:val="00C13A0E"/>
    <w:rsid w:val="00C27088"/>
    <w:rsid w:val="00C3165E"/>
    <w:rsid w:val="00C413E5"/>
    <w:rsid w:val="00C4280A"/>
    <w:rsid w:val="00C454B2"/>
    <w:rsid w:val="00C54980"/>
    <w:rsid w:val="00C741B7"/>
    <w:rsid w:val="00C9271B"/>
    <w:rsid w:val="00C95FB7"/>
    <w:rsid w:val="00CA0591"/>
    <w:rsid w:val="00CA40F6"/>
    <w:rsid w:val="00CA47E9"/>
    <w:rsid w:val="00CB468A"/>
    <w:rsid w:val="00CE34BA"/>
    <w:rsid w:val="00CF0CB7"/>
    <w:rsid w:val="00CF0DFB"/>
    <w:rsid w:val="00D00031"/>
    <w:rsid w:val="00D030AD"/>
    <w:rsid w:val="00D054E4"/>
    <w:rsid w:val="00D15CCB"/>
    <w:rsid w:val="00D16D55"/>
    <w:rsid w:val="00D23F2D"/>
    <w:rsid w:val="00D24A69"/>
    <w:rsid w:val="00D258D9"/>
    <w:rsid w:val="00DB2A7C"/>
    <w:rsid w:val="00DB6E44"/>
    <w:rsid w:val="00DC3002"/>
    <w:rsid w:val="00E000BE"/>
    <w:rsid w:val="00E11025"/>
    <w:rsid w:val="00E12848"/>
    <w:rsid w:val="00E22F92"/>
    <w:rsid w:val="00E265E5"/>
    <w:rsid w:val="00E41CFE"/>
    <w:rsid w:val="00E54E74"/>
    <w:rsid w:val="00E572F3"/>
    <w:rsid w:val="00E57C82"/>
    <w:rsid w:val="00E6289B"/>
    <w:rsid w:val="00E8684A"/>
    <w:rsid w:val="00EB06CD"/>
    <w:rsid w:val="00ED1F8B"/>
    <w:rsid w:val="00ED47B4"/>
    <w:rsid w:val="00EE3D24"/>
    <w:rsid w:val="00EE578E"/>
    <w:rsid w:val="00EE6A4B"/>
    <w:rsid w:val="00EF28A4"/>
    <w:rsid w:val="00EF59DE"/>
    <w:rsid w:val="00EF5D99"/>
    <w:rsid w:val="00F16565"/>
    <w:rsid w:val="00F247AF"/>
    <w:rsid w:val="00F320B5"/>
    <w:rsid w:val="00F33C36"/>
    <w:rsid w:val="00F37BF8"/>
    <w:rsid w:val="00F46ADC"/>
    <w:rsid w:val="00F546C1"/>
    <w:rsid w:val="00F55C2D"/>
    <w:rsid w:val="00F77C9F"/>
    <w:rsid w:val="00F90D3D"/>
    <w:rsid w:val="00FA11F6"/>
    <w:rsid w:val="00FA2F78"/>
    <w:rsid w:val="00FC1DAA"/>
    <w:rsid w:val="00FC3AE0"/>
    <w:rsid w:val="00FE0A46"/>
    <w:rsid w:val="00FF3A33"/>
    <w:rsid w:val="02AA1A84"/>
    <w:rsid w:val="03804C18"/>
    <w:rsid w:val="042D13E6"/>
    <w:rsid w:val="0444316A"/>
    <w:rsid w:val="04A2015D"/>
    <w:rsid w:val="059D25AD"/>
    <w:rsid w:val="06631CC5"/>
    <w:rsid w:val="07745C2A"/>
    <w:rsid w:val="08B03E69"/>
    <w:rsid w:val="08C553ED"/>
    <w:rsid w:val="09303DB6"/>
    <w:rsid w:val="09B75968"/>
    <w:rsid w:val="0A3B6BE9"/>
    <w:rsid w:val="0C6E69EE"/>
    <w:rsid w:val="0C851169"/>
    <w:rsid w:val="11464BB6"/>
    <w:rsid w:val="12113088"/>
    <w:rsid w:val="126D4B79"/>
    <w:rsid w:val="15B64A89"/>
    <w:rsid w:val="17867785"/>
    <w:rsid w:val="18B30A11"/>
    <w:rsid w:val="190E24E6"/>
    <w:rsid w:val="1ACC77DA"/>
    <w:rsid w:val="1ACE4623"/>
    <w:rsid w:val="1B8B42C2"/>
    <w:rsid w:val="1B90259D"/>
    <w:rsid w:val="1BE53786"/>
    <w:rsid w:val="1CFF3C36"/>
    <w:rsid w:val="1D547064"/>
    <w:rsid w:val="1F215001"/>
    <w:rsid w:val="1FA45952"/>
    <w:rsid w:val="1FE946D3"/>
    <w:rsid w:val="238437A3"/>
    <w:rsid w:val="239311CC"/>
    <w:rsid w:val="24ED5DE8"/>
    <w:rsid w:val="25D82BCA"/>
    <w:rsid w:val="25FD7B6A"/>
    <w:rsid w:val="265C29D1"/>
    <w:rsid w:val="270401D5"/>
    <w:rsid w:val="272F5B93"/>
    <w:rsid w:val="274B6DD8"/>
    <w:rsid w:val="28FE3909"/>
    <w:rsid w:val="293D49B7"/>
    <w:rsid w:val="2B5F36A9"/>
    <w:rsid w:val="2C542B53"/>
    <w:rsid w:val="2CC638A9"/>
    <w:rsid w:val="2CDD5871"/>
    <w:rsid w:val="2CE101E6"/>
    <w:rsid w:val="2D90100E"/>
    <w:rsid w:val="2F4A29C0"/>
    <w:rsid w:val="30D53BBD"/>
    <w:rsid w:val="337D34F9"/>
    <w:rsid w:val="339215C8"/>
    <w:rsid w:val="34786272"/>
    <w:rsid w:val="368D2FB7"/>
    <w:rsid w:val="36D44917"/>
    <w:rsid w:val="37437A8B"/>
    <w:rsid w:val="3A086C25"/>
    <w:rsid w:val="3A090C19"/>
    <w:rsid w:val="3CCC0854"/>
    <w:rsid w:val="3D8F1598"/>
    <w:rsid w:val="3F6B2EDB"/>
    <w:rsid w:val="3F73CB93"/>
    <w:rsid w:val="408F5EAA"/>
    <w:rsid w:val="42240501"/>
    <w:rsid w:val="42D40179"/>
    <w:rsid w:val="42DD6AC5"/>
    <w:rsid w:val="42E63A08"/>
    <w:rsid w:val="43633F8D"/>
    <w:rsid w:val="438C0A54"/>
    <w:rsid w:val="43D901B0"/>
    <w:rsid w:val="446F71BC"/>
    <w:rsid w:val="45286B27"/>
    <w:rsid w:val="455716C5"/>
    <w:rsid w:val="4740402F"/>
    <w:rsid w:val="49760507"/>
    <w:rsid w:val="497E1DB7"/>
    <w:rsid w:val="4B3C0998"/>
    <w:rsid w:val="4B8C7625"/>
    <w:rsid w:val="4BC47504"/>
    <w:rsid w:val="4C9C42C9"/>
    <w:rsid w:val="4D13771F"/>
    <w:rsid w:val="4DFB14AD"/>
    <w:rsid w:val="4E2D7F79"/>
    <w:rsid w:val="4E955004"/>
    <w:rsid w:val="50A82C45"/>
    <w:rsid w:val="510B436D"/>
    <w:rsid w:val="52D51D51"/>
    <w:rsid w:val="54814E00"/>
    <w:rsid w:val="548B3222"/>
    <w:rsid w:val="55AD6590"/>
    <w:rsid w:val="56D43F5D"/>
    <w:rsid w:val="58D7601D"/>
    <w:rsid w:val="5A604A46"/>
    <w:rsid w:val="5DE81CA0"/>
    <w:rsid w:val="5EBD39ED"/>
    <w:rsid w:val="5ECB022A"/>
    <w:rsid w:val="5F021772"/>
    <w:rsid w:val="614957FD"/>
    <w:rsid w:val="61905265"/>
    <w:rsid w:val="62096EAA"/>
    <w:rsid w:val="668A09CB"/>
    <w:rsid w:val="66A02C7C"/>
    <w:rsid w:val="678D4AFE"/>
    <w:rsid w:val="68BE3BC0"/>
    <w:rsid w:val="69F620C4"/>
    <w:rsid w:val="6C90289E"/>
    <w:rsid w:val="6CB43382"/>
    <w:rsid w:val="6F467FA5"/>
    <w:rsid w:val="71043660"/>
    <w:rsid w:val="71463FBF"/>
    <w:rsid w:val="71B27028"/>
    <w:rsid w:val="72001B41"/>
    <w:rsid w:val="72D3257B"/>
    <w:rsid w:val="7463587C"/>
    <w:rsid w:val="74E53270"/>
    <w:rsid w:val="750202C6"/>
    <w:rsid w:val="75915FDB"/>
    <w:rsid w:val="75B55338"/>
    <w:rsid w:val="75D1743B"/>
    <w:rsid w:val="760D49BA"/>
    <w:rsid w:val="76460D27"/>
    <w:rsid w:val="767B20DE"/>
    <w:rsid w:val="783E3AD1"/>
    <w:rsid w:val="78A102B4"/>
    <w:rsid w:val="7A28483B"/>
    <w:rsid w:val="7A906B9E"/>
    <w:rsid w:val="7CA8270B"/>
    <w:rsid w:val="7DFE5C17"/>
    <w:rsid w:val="7E5E47BF"/>
    <w:rsid w:val="7F0F056F"/>
    <w:rsid w:val="7F71277D"/>
    <w:rsid w:val="FEA81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link w:val="24"/>
    <w:semiHidden/>
    <w:unhideWhenUsed/>
    <w:qFormat/>
    <w:uiPriority w:val="99"/>
    <w:pPr>
      <w:spacing w:after="120"/>
    </w:pPr>
  </w:style>
  <w:style w:type="paragraph" w:styleId="5">
    <w:name w:val="Body Text Indent"/>
    <w:basedOn w:val="1"/>
    <w:link w:val="21"/>
    <w:semiHidden/>
    <w:unhideWhenUsed/>
    <w:qFormat/>
    <w:uiPriority w:val="99"/>
    <w:pPr>
      <w:spacing w:after="120"/>
      <w:ind w:left="420" w:leftChars="200"/>
    </w:pPr>
  </w:style>
  <w:style w:type="paragraph" w:styleId="6">
    <w:name w:val="Plain Text"/>
    <w:basedOn w:val="1"/>
    <w:link w:val="26"/>
    <w:qFormat/>
    <w:uiPriority w:val="0"/>
    <w:rPr>
      <w:rFonts w:ascii="宋体" w:hAnsi="Courier New" w:eastAsia="宋体" w:cs="Times New Roman"/>
      <w:kern w:val="0"/>
      <w:sz w:val="20"/>
      <w:lang w:val="zh-CN"/>
    </w:rPr>
  </w:style>
  <w:style w:type="paragraph" w:styleId="7">
    <w:name w:val="Date"/>
    <w:basedOn w:val="1"/>
    <w:next w:val="1"/>
    <w:link w:val="31"/>
    <w:qFormat/>
    <w:uiPriority w:val="0"/>
    <w:pPr>
      <w:ind w:left="100" w:leftChars="2500"/>
    </w:pPr>
  </w:style>
  <w:style w:type="paragraph" w:styleId="8">
    <w:name w:val="Balloon Text"/>
    <w:basedOn w:val="1"/>
    <w:link w:val="30"/>
    <w:unhideWhenUsed/>
    <w:qFormat/>
    <w:uiPriority w:val="0"/>
    <w:rPr>
      <w:rFonts w:ascii="Times New Roman" w:hAnsi="Times New Roman" w:eastAsia="仿宋_GB2312" w:cs="Times New Roman"/>
      <w:snapToGrid w:val="0"/>
      <w:kern w:val="0"/>
      <w:sz w:val="18"/>
      <w:szCs w:val="18"/>
      <w:lang w:val="zh-CN"/>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33"/>
    <w:qFormat/>
    <w:uiPriority w:val="0"/>
    <w:pPr>
      <w:spacing w:after="120" w:line="480" w:lineRule="auto"/>
    </w:pPr>
  </w:style>
  <w:style w:type="paragraph" w:styleId="12">
    <w:name w:val="Body Text First Indent"/>
    <w:basedOn w:val="4"/>
    <w:link w:val="25"/>
    <w:semiHidden/>
    <w:unhideWhenUsed/>
    <w:qFormat/>
    <w:uiPriority w:val="99"/>
    <w:pPr>
      <w:ind w:firstLine="420" w:firstLineChars="100"/>
    </w:pPr>
  </w:style>
  <w:style w:type="paragraph" w:styleId="13">
    <w:name w:val="Body Text First Indent 2"/>
    <w:basedOn w:val="1"/>
    <w:next w:val="1"/>
    <w:link w:val="22"/>
    <w:qFormat/>
    <w:uiPriority w:val="0"/>
    <w:pPr>
      <w:spacing w:after="120"/>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qFormat/>
    <w:uiPriority w:val="0"/>
    <w:rPr>
      <w:color w:val="0000FF"/>
      <w:u w:val="single"/>
    </w:rPr>
  </w:style>
  <w:style w:type="character" w:customStyle="1" w:styleId="19">
    <w:name w:val="页眉 Char"/>
    <w:basedOn w:val="16"/>
    <w:link w:val="10"/>
    <w:qFormat/>
    <w:uiPriority w:val="0"/>
    <w:rPr>
      <w:sz w:val="18"/>
      <w:szCs w:val="18"/>
    </w:rPr>
  </w:style>
  <w:style w:type="character" w:customStyle="1" w:styleId="20">
    <w:name w:val="页脚 Char"/>
    <w:basedOn w:val="16"/>
    <w:link w:val="9"/>
    <w:qFormat/>
    <w:uiPriority w:val="99"/>
    <w:rPr>
      <w:sz w:val="18"/>
      <w:szCs w:val="18"/>
    </w:rPr>
  </w:style>
  <w:style w:type="character" w:customStyle="1" w:styleId="21">
    <w:name w:val="正文文本缩进 Char"/>
    <w:basedOn w:val="16"/>
    <w:link w:val="5"/>
    <w:semiHidden/>
    <w:qFormat/>
    <w:uiPriority w:val="99"/>
    <w:rPr>
      <w:szCs w:val="24"/>
    </w:rPr>
  </w:style>
  <w:style w:type="character" w:customStyle="1" w:styleId="22">
    <w:name w:val="正文首行缩进 2 Char"/>
    <w:basedOn w:val="21"/>
    <w:link w:val="13"/>
    <w:qFormat/>
    <w:uiPriority w:val="0"/>
    <w:rPr>
      <w:szCs w:val="24"/>
    </w:rPr>
  </w:style>
  <w:style w:type="paragraph" w:styleId="23">
    <w:name w:val="List Paragraph"/>
    <w:basedOn w:val="1"/>
    <w:qFormat/>
    <w:uiPriority w:val="0"/>
    <w:pPr>
      <w:ind w:firstLine="420" w:firstLineChars="200"/>
    </w:pPr>
  </w:style>
  <w:style w:type="character" w:customStyle="1" w:styleId="24">
    <w:name w:val="正文文本 Char"/>
    <w:basedOn w:val="16"/>
    <w:link w:val="4"/>
    <w:semiHidden/>
    <w:qFormat/>
    <w:uiPriority w:val="99"/>
    <w:rPr>
      <w:szCs w:val="24"/>
    </w:rPr>
  </w:style>
  <w:style w:type="character" w:customStyle="1" w:styleId="25">
    <w:name w:val="正文首行缩进 Char"/>
    <w:basedOn w:val="24"/>
    <w:link w:val="12"/>
    <w:semiHidden/>
    <w:qFormat/>
    <w:uiPriority w:val="99"/>
    <w:rPr>
      <w:szCs w:val="24"/>
    </w:rPr>
  </w:style>
  <w:style w:type="character" w:customStyle="1" w:styleId="26">
    <w:name w:val="纯文本 Char"/>
    <w:basedOn w:val="16"/>
    <w:link w:val="6"/>
    <w:qFormat/>
    <w:uiPriority w:val="0"/>
    <w:rPr>
      <w:rFonts w:ascii="宋体" w:hAnsi="Courier New" w:eastAsia="宋体" w:cs="Times New Roman"/>
      <w:kern w:val="0"/>
      <w:sz w:val="20"/>
      <w:szCs w:val="24"/>
      <w:lang w:val="zh-CN" w:eastAsia="zh-CN"/>
    </w:rPr>
  </w:style>
  <w:style w:type="paragraph" w:customStyle="1" w:styleId="27">
    <w:name w:val="默认段落字体 Para Char Char Char Char Char Char Char Char Char Char"/>
    <w:basedOn w:val="1"/>
    <w:qFormat/>
    <w:uiPriority w:val="0"/>
    <w:rPr>
      <w:rFonts w:ascii="Arial" w:hAnsi="Arial" w:eastAsia="宋体" w:cs="Arial"/>
      <w:sz w:val="20"/>
      <w:szCs w:val="20"/>
    </w:rPr>
  </w:style>
  <w:style w:type="paragraph" w:customStyle="1" w:styleId="28">
    <w:name w:val="列出段落1"/>
    <w:basedOn w:val="1"/>
    <w:unhideWhenUsed/>
    <w:qFormat/>
    <w:uiPriority w:val="99"/>
    <w:pPr>
      <w:ind w:firstLine="420" w:firstLineChars="200"/>
    </w:pPr>
    <w:rPr>
      <w:rFonts w:ascii="Times New Roman" w:hAnsi="Times New Roman" w:eastAsia="宋体" w:cs="Times New Roman"/>
    </w:rPr>
  </w:style>
  <w:style w:type="table" w:customStyle="1" w:styleId="29">
    <w:name w:val="网格型1"/>
    <w:basedOn w:val="14"/>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批注框文本 Char"/>
    <w:basedOn w:val="16"/>
    <w:link w:val="8"/>
    <w:qFormat/>
    <w:uiPriority w:val="0"/>
    <w:rPr>
      <w:rFonts w:ascii="Times New Roman" w:hAnsi="Times New Roman" w:eastAsia="仿宋_GB2312" w:cs="Times New Roman"/>
      <w:snapToGrid w:val="0"/>
      <w:kern w:val="0"/>
      <w:sz w:val="18"/>
      <w:szCs w:val="18"/>
      <w:lang w:val="zh-CN" w:eastAsia="zh-CN"/>
    </w:rPr>
  </w:style>
  <w:style w:type="character" w:customStyle="1" w:styleId="31">
    <w:name w:val="日期 Char"/>
    <w:link w:val="7"/>
    <w:qFormat/>
    <w:uiPriority w:val="0"/>
    <w:rPr>
      <w:szCs w:val="24"/>
    </w:rPr>
  </w:style>
  <w:style w:type="character" w:customStyle="1" w:styleId="32">
    <w:name w:val="批注框文本 Char1"/>
    <w:semiHidden/>
    <w:qFormat/>
    <w:uiPriority w:val="99"/>
    <w:rPr>
      <w:kern w:val="2"/>
      <w:sz w:val="18"/>
      <w:szCs w:val="18"/>
    </w:rPr>
  </w:style>
  <w:style w:type="character" w:customStyle="1" w:styleId="33">
    <w:name w:val="正文文本 2 Char"/>
    <w:link w:val="11"/>
    <w:qFormat/>
    <w:uiPriority w:val="0"/>
    <w:rPr>
      <w:szCs w:val="24"/>
    </w:rPr>
  </w:style>
  <w:style w:type="character" w:customStyle="1" w:styleId="34">
    <w:name w:val="页眉 Char1"/>
    <w:semiHidden/>
    <w:qFormat/>
    <w:uiPriority w:val="99"/>
    <w:rPr>
      <w:kern w:val="2"/>
      <w:sz w:val="18"/>
      <w:szCs w:val="18"/>
    </w:rPr>
  </w:style>
  <w:style w:type="character" w:customStyle="1" w:styleId="35">
    <w:name w:val="正文文本 2 Char1"/>
    <w:basedOn w:val="16"/>
    <w:semiHidden/>
    <w:qFormat/>
    <w:uiPriority w:val="99"/>
    <w:rPr>
      <w:szCs w:val="24"/>
    </w:rPr>
  </w:style>
  <w:style w:type="character" w:customStyle="1" w:styleId="36">
    <w:name w:val="页脚 Char1"/>
    <w:semiHidden/>
    <w:qFormat/>
    <w:uiPriority w:val="99"/>
    <w:rPr>
      <w:kern w:val="2"/>
      <w:sz w:val="18"/>
      <w:szCs w:val="18"/>
    </w:rPr>
  </w:style>
  <w:style w:type="character" w:customStyle="1" w:styleId="37">
    <w:name w:val="纯文本 Char1"/>
    <w:semiHidden/>
    <w:qFormat/>
    <w:uiPriority w:val="99"/>
    <w:rPr>
      <w:rFonts w:ascii="宋体" w:hAnsi="Courier New" w:cs="Courier New"/>
      <w:kern w:val="2"/>
      <w:sz w:val="21"/>
      <w:szCs w:val="21"/>
    </w:rPr>
  </w:style>
  <w:style w:type="character" w:customStyle="1" w:styleId="38">
    <w:name w:val="日期 Char1"/>
    <w:basedOn w:val="16"/>
    <w:semiHidden/>
    <w:qFormat/>
    <w:uiPriority w:val="99"/>
    <w:rPr>
      <w:szCs w:val="24"/>
    </w:rPr>
  </w:style>
  <w:style w:type="character" w:customStyle="1" w:styleId="39">
    <w:name w:val="批注框文本 Char2"/>
    <w:semiHidden/>
    <w:qFormat/>
    <w:uiPriority w:val="99"/>
    <w:rPr>
      <w:kern w:val="2"/>
      <w:sz w:val="18"/>
      <w:szCs w:val="18"/>
    </w:rPr>
  </w:style>
  <w:style w:type="paragraph" w:customStyle="1" w:styleId="4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41">
    <w:name w:val="Char Char1"/>
    <w:basedOn w:val="1"/>
    <w:qFormat/>
    <w:uiPriority w:val="0"/>
    <w:rPr>
      <w:rFonts w:ascii="Arial" w:hAnsi="Arial" w:eastAsia="宋体" w:cs="Arial"/>
      <w:sz w:val="20"/>
      <w:szCs w:val="20"/>
    </w:rPr>
  </w:style>
  <w:style w:type="character" w:customStyle="1" w:styleId="42">
    <w:name w:val="font12"/>
    <w:basedOn w:val="16"/>
    <w:qFormat/>
    <w:uiPriority w:val="0"/>
    <w:rPr>
      <w:rFonts w:hint="eastAsia" w:ascii="方正仿宋_GBK" w:hAnsi="方正仿宋_GBK" w:eastAsia="方正仿宋_GBK" w:cs="方正仿宋_GBK"/>
      <w:b/>
      <w:bCs/>
      <w:color w:val="000000"/>
      <w:sz w:val="28"/>
      <w:szCs w:val="28"/>
      <w:u w:val="none"/>
    </w:rPr>
  </w:style>
  <w:style w:type="character" w:customStyle="1" w:styleId="43">
    <w:name w:val="font111"/>
    <w:basedOn w:val="16"/>
    <w:qFormat/>
    <w:uiPriority w:val="0"/>
    <w:rPr>
      <w:rFonts w:hint="default" w:ascii="Times New Roman" w:hAnsi="Times New Roman" w:cs="Times New Roman"/>
      <w:b/>
      <w:bCs/>
      <w:color w:val="000000"/>
      <w:sz w:val="28"/>
      <w:szCs w:val="28"/>
      <w:u w:val="none"/>
    </w:rPr>
  </w:style>
  <w:style w:type="character" w:customStyle="1" w:styleId="44">
    <w:name w:val="font11"/>
    <w:basedOn w:val="16"/>
    <w:qFormat/>
    <w:uiPriority w:val="0"/>
    <w:rPr>
      <w:rFonts w:hint="default" w:ascii="方正仿宋_GB18030" w:hAnsi="方正仿宋_GB18030" w:eastAsia="方正仿宋_GB18030" w:cs="方正仿宋_GB18030"/>
      <w:b/>
      <w:bCs/>
      <w:color w:val="000000"/>
      <w:sz w:val="18"/>
      <w:szCs w:val="18"/>
      <w:u w:val="none"/>
    </w:rPr>
  </w:style>
  <w:style w:type="character" w:customStyle="1" w:styleId="45">
    <w:name w:val="font21"/>
    <w:basedOn w:val="16"/>
    <w:qFormat/>
    <w:uiPriority w:val="0"/>
    <w:rPr>
      <w:rFonts w:hint="default" w:ascii="方正仿宋_GB18030" w:hAnsi="方正仿宋_GB18030" w:eastAsia="方正仿宋_GB18030" w:cs="方正仿宋_GB18030"/>
      <w:color w:val="000000"/>
      <w:sz w:val="18"/>
      <w:szCs w:val="18"/>
      <w:u w:val="none"/>
    </w:rPr>
  </w:style>
  <w:style w:type="character" w:customStyle="1" w:styleId="46">
    <w:name w:val="font31"/>
    <w:basedOn w:val="1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contoso</Company>
  <Pages>12</Pages>
  <Words>5542</Words>
  <Characters>5650</Characters>
  <Lines>6</Lines>
  <Paragraphs>1</Paragraphs>
  <TotalTime>10</TotalTime>
  <ScaleCrop>false</ScaleCrop>
  <LinksUpToDate>false</LinksUpToDate>
  <CharactersWithSpaces>5897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2024-11-13T17:57:00Z</dcterms:created>
  <dc:creator>Windows 用户</dc:creator>
  <cp:lastModifiedBy>joylove35</cp:lastModifiedBy>
  <cp:lastPrinted>2025-05-28T09:38:00Z</cp:lastPrinted>
  <dcterms:modified xsi:type="dcterms:W3CDTF">2025-08-22T06:44:17Z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5E982D8F54E6483EABC89998E8F02D8C_13</vt:lpwstr>
  </property>
  <property fmtid="{D5CDD505-2E9C-101B-9397-08002B2CF9AE}" pid="4" name="KSOTemplateDocerSaveRecord">
    <vt:lpwstr>eyJoZGlkIjoiNTQ5MTI2MWZiOTJjNjA1NGE5MzI0OTdlZDAwY2RmM2YiLCJ1c2VySWQiOiI4NzI4NDU1MDcifQ==</vt:lpwstr>
  </property>
</Properties>
</file>