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FE19">
      <w:pPr>
        <w:jc w:val="center"/>
        <w:rPr>
          <w:rFonts w:ascii="方正小标宋_GBK" w:hAnsi="宋体" w:eastAsia="方正小标宋_GBK"/>
          <w:color w:val="auto"/>
          <w:sz w:val="36"/>
          <w:szCs w:val="36"/>
        </w:rPr>
      </w:pPr>
      <w:r>
        <w:rPr>
          <w:rFonts w:hint="eastAsia" w:ascii="方正小标宋_GBK" w:hAnsi="宋体" w:eastAsia="方正小标宋_GBK"/>
          <w:color w:val="auto"/>
          <w:sz w:val="36"/>
          <w:szCs w:val="36"/>
        </w:rPr>
        <w:t>投</w:t>
      </w:r>
      <w:r>
        <w:rPr>
          <w:rFonts w:ascii="方正小标宋_GBK" w:hAnsi="宋体" w:eastAsia="方正小标宋_GBK"/>
          <w:color w:val="auto"/>
          <w:sz w:val="36"/>
          <w:szCs w:val="36"/>
        </w:rPr>
        <w:t>标人</w:t>
      </w:r>
      <w:r>
        <w:rPr>
          <w:rFonts w:hint="eastAsia" w:ascii="方正小标宋_GBK" w:hAnsi="宋体" w:eastAsia="方正小标宋_GBK"/>
          <w:color w:val="auto"/>
          <w:sz w:val="36"/>
          <w:szCs w:val="36"/>
        </w:rPr>
        <w:t>须</w:t>
      </w:r>
      <w:r>
        <w:rPr>
          <w:rFonts w:ascii="方正小标宋_GBK" w:hAnsi="宋体" w:eastAsia="方正小标宋_GBK"/>
          <w:color w:val="auto"/>
          <w:sz w:val="36"/>
          <w:szCs w:val="36"/>
        </w:rPr>
        <w:t>知</w:t>
      </w:r>
    </w:p>
    <w:p w14:paraId="27CAF503">
      <w:pPr>
        <w:ind w:firstLine="3960" w:firstLineChars="1100"/>
        <w:rPr>
          <w:rFonts w:ascii="方正小标宋_GBK" w:hAnsi="宋体" w:eastAsia="方正小标宋_GBK"/>
          <w:color w:val="auto"/>
          <w:sz w:val="36"/>
          <w:szCs w:val="36"/>
        </w:rPr>
      </w:pPr>
      <w:bookmarkStart w:id="5" w:name="_GoBack"/>
      <w:bookmarkEnd w:id="5"/>
    </w:p>
    <w:p w14:paraId="4B0B9007">
      <w:pPr>
        <w:keepNext w:val="0"/>
        <w:keepLines w:val="0"/>
        <w:pageBreakBefore w:val="0"/>
        <w:kinsoku/>
        <w:wordWrap/>
        <w:overflowPunct/>
        <w:topLinePunct w:val="0"/>
        <w:autoSpaceDE/>
        <w:autoSpaceDN/>
        <w:bidi w:val="0"/>
        <w:adjustRightInd/>
        <w:spacing w:line="594" w:lineRule="exact"/>
        <w:ind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一</w:t>
      </w:r>
      <w:r>
        <w:rPr>
          <w:rFonts w:hint="eastAsia" w:ascii="方正黑体_GBK" w:hAnsi="方正黑体_GBK" w:eastAsia="方正黑体_GBK" w:cs="方正黑体_GBK"/>
          <w:b/>
          <w:color w:val="auto"/>
          <w:sz w:val="32"/>
          <w:szCs w:val="32"/>
        </w:rPr>
        <w:t>、项目基本情况</w:t>
      </w:r>
    </w:p>
    <w:p w14:paraId="16790E41">
      <w:pPr>
        <w:ind w:firstLine="480" w:firstLineChars="150"/>
        <w:jc w:val="left"/>
        <w:rPr>
          <w:rFonts w:hint="default" w:ascii="方正仿宋_GBK" w:hAnsi="方正仿宋_GBK" w:eastAsia="方正仿宋_GBK" w:cs="方正仿宋_GBK"/>
          <w:color w:val="auto"/>
          <w:sz w:val="32"/>
          <w:szCs w:val="32"/>
          <w:u w:val="single"/>
          <w:lang w:val="en-US"/>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项目名称：</w:t>
      </w:r>
      <w:r>
        <w:rPr>
          <w:rFonts w:hint="eastAsia" w:ascii="方正仿宋_GBK" w:hAnsi="方正仿宋_GBK" w:eastAsia="方正仿宋_GBK" w:cs="方正仿宋_GBK"/>
          <w:color w:val="auto"/>
          <w:sz w:val="32"/>
          <w:szCs w:val="32"/>
          <w:u w:val="single"/>
          <w:lang w:val="en-US" w:eastAsia="zh-CN"/>
        </w:rPr>
        <w:t>人工智能赋能城市治理综合场景高性能计算服务器购置</w:t>
      </w:r>
    </w:p>
    <w:p w14:paraId="02C51E3B">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招标人：重庆九龙现代</w:t>
      </w:r>
      <w:r>
        <w:rPr>
          <w:rFonts w:hint="eastAsia" w:ascii="方正仿宋_GBK" w:hAnsi="方正仿宋_GBK" w:eastAsia="方正仿宋_GBK" w:cs="方正仿宋_GBK"/>
          <w:color w:val="auto"/>
          <w:sz w:val="32"/>
          <w:szCs w:val="32"/>
          <w:lang w:val="en-US" w:eastAsia="zh-CN"/>
        </w:rPr>
        <w:t>数字科技有限公司</w:t>
      </w:r>
      <w:r>
        <w:rPr>
          <w:rFonts w:hint="eastAsia" w:ascii="方正仿宋_GBK" w:hAnsi="方正仿宋_GBK" w:eastAsia="方正仿宋_GBK" w:cs="方正仿宋_GBK"/>
          <w:color w:val="auto"/>
          <w:sz w:val="32"/>
          <w:szCs w:val="32"/>
        </w:rPr>
        <w:t>。</w:t>
      </w:r>
    </w:p>
    <w:p w14:paraId="5413431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项目概况：</w:t>
      </w:r>
      <w:r>
        <w:rPr>
          <w:rFonts w:hint="eastAsia" w:ascii="Times New Roman" w:hAnsi="Times New Roman" w:eastAsia="方正仿宋_GBK"/>
          <w:color w:val="000000"/>
          <w:sz w:val="32"/>
          <w:szCs w:val="32"/>
        </w:rPr>
        <w:t>为深入贯彻《重庆市人工智能赋能超大城市现代化治理行动计划(2025-2027年)》文件精神，全面落实2025年2月全区推进数字重庆建设调度会“贯通实现多场景AI赋能"区委常委会第156次会议“做实AI分析和复盘改进”等工作要求</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需购置</w:t>
      </w:r>
      <w:r>
        <w:rPr>
          <w:rFonts w:hint="eastAsia" w:ascii="方正仿宋_GBK" w:hAnsi="方正仿宋_GBK" w:eastAsia="方正仿宋_GBK" w:cs="方正仿宋_GBK"/>
          <w:color w:val="auto"/>
          <w:sz w:val="32"/>
          <w:szCs w:val="32"/>
          <w:u w:val="none"/>
          <w:lang w:val="en-US" w:eastAsia="zh-CN"/>
        </w:rPr>
        <w:t>人工智能赋能城市治理综合场景高性能计算服务器一台</w:t>
      </w:r>
      <w:r>
        <w:rPr>
          <w:rFonts w:hint="eastAsia" w:ascii="Times New Roman" w:hAnsi="Times New Roman" w:eastAsia="方正仿宋_GBK"/>
          <w:color w:val="000000"/>
          <w:sz w:val="32"/>
          <w:szCs w:val="32"/>
          <w:lang w:eastAsia="zh-CN"/>
        </w:rPr>
        <w:t>。</w:t>
      </w:r>
    </w:p>
    <w:p w14:paraId="338D3A1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二、项目投标范围</w:t>
      </w:r>
    </w:p>
    <w:p w14:paraId="694C613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服务</w:t>
      </w:r>
      <w:r>
        <w:rPr>
          <w:rFonts w:hint="eastAsia" w:ascii="方正仿宋_GBK" w:hAnsi="方正仿宋_GBK" w:eastAsia="方正仿宋_GBK" w:cs="方正仿宋_GBK"/>
          <w:color w:val="auto"/>
          <w:sz w:val="32"/>
          <w:szCs w:val="32"/>
        </w:rPr>
        <w:t>内容：</w:t>
      </w:r>
      <w:r>
        <w:rPr>
          <w:rFonts w:hint="eastAsia" w:ascii="方正仿宋_GBK" w:hAnsi="方正仿宋_GBK" w:eastAsia="方正仿宋_GBK" w:cs="方正仿宋_GBK"/>
          <w:color w:val="auto"/>
          <w:sz w:val="32"/>
          <w:szCs w:val="32"/>
          <w:u w:val="none"/>
          <w:lang w:val="en-US" w:eastAsia="zh-CN"/>
        </w:rPr>
        <w:t>人工智能赋能城市治理综合场景高性能计算服务器购置清单</w:t>
      </w:r>
      <w:r>
        <w:rPr>
          <w:rFonts w:hint="eastAsia" w:ascii="方正仿宋_GBK" w:hAnsi="方正仿宋_GBK" w:eastAsia="方正仿宋_GBK" w:cs="方正仿宋_GBK"/>
          <w:color w:val="auto"/>
          <w:sz w:val="32"/>
          <w:szCs w:val="32"/>
          <w:lang w:val="en-US" w:eastAsia="zh-CN"/>
        </w:rPr>
        <w:t>（附件4）。</w:t>
      </w:r>
    </w:p>
    <w:p w14:paraId="6EC199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工期</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7日历天。投标文件须满足谈判公告对工期的要求，否则其资格性、符合性审查不合格</w:t>
      </w:r>
      <w:r>
        <w:rPr>
          <w:rFonts w:hint="eastAsia" w:ascii="方正仿宋_GBK" w:hAnsi="方正仿宋_GBK" w:eastAsia="方正仿宋_GBK" w:cs="方正仿宋_GBK"/>
          <w:color w:val="auto"/>
          <w:sz w:val="32"/>
          <w:szCs w:val="32"/>
        </w:rPr>
        <w:t>。</w:t>
      </w:r>
    </w:p>
    <w:p w14:paraId="40A4C4F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（三）质保期：三年</w:t>
      </w:r>
    </w:p>
    <w:p w14:paraId="32D57A1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三、投标人资格要求</w:t>
      </w:r>
    </w:p>
    <w:p w14:paraId="60D3D41C">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（一）具备有效的营业执照（须提供有效的营业执照副本复印件）；</w:t>
      </w:r>
    </w:p>
    <w:p w14:paraId="685D5C6D">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（二）具有良好的商业信誉和健全的财务会计制度；</w:t>
      </w:r>
    </w:p>
    <w:p w14:paraId="691ADE04">
      <w:pPr>
        <w:pStyle w:val="12"/>
        <w:spacing w:after="0" w:line="600" w:lineRule="exact"/>
        <w:ind w:left="0" w:leftChars="0"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（三）具有履行合同所必需的设备和专业技术能力；</w:t>
      </w:r>
    </w:p>
    <w:p w14:paraId="3F83FA92">
      <w:pPr>
        <w:spacing w:line="600" w:lineRule="exact"/>
        <w:ind w:firstLine="640" w:firstLineChars="200"/>
        <w:rPr>
          <w:color w:val="auto"/>
          <w:sz w:val="32"/>
          <w:szCs w:val="32"/>
        </w:rPr>
      </w:pPr>
      <w:r>
        <w:rPr>
          <w:rFonts w:hint="eastAsia" w:ascii="方正仿宋_GBK" w:hAnsi="方正仿宋_GBK" w:eastAsia="方正仿宋_GBK" w:cs="方正仿宋_GBK"/>
          <w:color w:val="auto"/>
          <w:sz w:val="32"/>
          <w:szCs w:val="32"/>
        </w:rPr>
        <w:t>（四）有依法缴纳税收和社会保障金的良好记录；</w:t>
      </w:r>
    </w:p>
    <w:p w14:paraId="5BF94195">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（五）参加采购活动前三年内，在经营活动中没有重大违法记录；</w:t>
      </w:r>
    </w:p>
    <w:p w14:paraId="298BDCA1">
      <w:pPr>
        <w:spacing w:line="6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（六）本次招标</w:t>
      </w:r>
      <w:r>
        <w:rPr>
          <w:rFonts w:hint="eastAsia" w:ascii="方正仿宋_GBK" w:hAnsi="方正仿宋_GBK" w:eastAsia="方正仿宋_GBK" w:cs="方正仿宋_GBK"/>
          <w:color w:val="auto"/>
          <w:sz w:val="32"/>
          <w:szCs w:val="32"/>
          <w:u w:val="single"/>
        </w:rPr>
        <w:t>不接受</w:t>
      </w:r>
      <w:r>
        <w:rPr>
          <w:rFonts w:hint="eastAsia" w:ascii="方正仿宋_GBK" w:hAnsi="方正仿宋_GBK" w:eastAsia="方正仿宋_GBK" w:cs="方正仿宋_GBK"/>
          <w:color w:val="auto"/>
          <w:sz w:val="32"/>
          <w:szCs w:val="32"/>
        </w:rPr>
        <w:t>联合体投标，</w:t>
      </w:r>
      <w:r>
        <w:rPr>
          <w:rFonts w:hint="eastAsia" w:ascii="方正仿宋_GBK" w:hAnsi="方正仿宋_GBK" w:eastAsia="方正仿宋_GBK" w:cs="方正仿宋_GBK"/>
          <w:color w:val="auto"/>
          <w:sz w:val="32"/>
          <w:szCs w:val="32"/>
          <w:highlight w:val="none"/>
        </w:rPr>
        <w:t>中选后不允许分包、转包。</w:t>
      </w:r>
    </w:p>
    <w:p w14:paraId="6554217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四、投标报价</w:t>
      </w:r>
    </w:p>
    <w:p w14:paraId="0383218F">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本项目投标报价最高限价为</w:t>
      </w:r>
      <w:r>
        <w:rPr>
          <w:rFonts w:hint="eastAsia" w:ascii="方正仿宋_GBK" w:hAnsi="方正仿宋_GBK" w:eastAsia="方正仿宋_GBK" w:cs="方正仿宋_GBK"/>
          <w:color w:val="auto"/>
          <w:sz w:val="32"/>
          <w:szCs w:val="32"/>
          <w:highlight w:val="none"/>
          <w:u w:val="single"/>
          <w:lang w:val="en-US" w:eastAsia="zh-CN"/>
        </w:rPr>
        <w:t>160000</w:t>
      </w:r>
      <w:r>
        <w:rPr>
          <w:rFonts w:hint="eastAsia" w:ascii="方正仿宋_GBK" w:hAnsi="方正仿宋_GBK" w:eastAsia="方正仿宋_GBK" w:cs="方正仿宋_GBK"/>
          <w:color w:val="auto"/>
          <w:sz w:val="32"/>
          <w:szCs w:val="32"/>
          <w:highlight w:val="none"/>
          <w:u w:val="single"/>
        </w:rPr>
        <w:t>元</w:t>
      </w:r>
      <w:r>
        <w:rPr>
          <w:rFonts w:hint="eastAsia" w:ascii="方正仿宋_GBK" w:hAnsi="方正仿宋_GBK" w:eastAsia="方正仿宋_GBK" w:cs="方正仿宋_GBK"/>
          <w:color w:val="auto"/>
          <w:sz w:val="32"/>
          <w:szCs w:val="32"/>
          <w:lang w:eastAsia="zh-CN"/>
        </w:rPr>
        <w:t>。</w:t>
      </w:r>
      <w:r>
        <w:rPr>
          <w:rFonts w:hint="eastAsia" w:ascii="方正仿宋_GBK" w:hAnsi="宋体" w:eastAsia="方正仿宋_GBK"/>
          <w:color w:val="auto"/>
          <w:sz w:val="32"/>
          <w:szCs w:val="32"/>
        </w:rPr>
        <w:t>投标总报价</w:t>
      </w:r>
      <w:r>
        <w:rPr>
          <w:rFonts w:hint="eastAsia" w:ascii="方正仿宋_GBK" w:hAnsi="宋体" w:eastAsia="方正仿宋_GBK"/>
          <w:color w:val="auto"/>
          <w:sz w:val="32"/>
          <w:szCs w:val="32"/>
          <w:lang w:val="en-US" w:eastAsia="zh-CN"/>
        </w:rPr>
        <w:t>以</w:t>
      </w:r>
      <w:r>
        <w:rPr>
          <w:rFonts w:hint="eastAsia" w:ascii="方正仿宋_GBK" w:hAnsi="宋体" w:eastAsia="方正仿宋_GBK"/>
          <w:color w:val="auto"/>
          <w:sz w:val="32"/>
          <w:szCs w:val="32"/>
        </w:rPr>
        <w:t>元为单位，保留两位小数，小数点后第三位四舍五入，不足两位的按实际位数保留。</w:t>
      </w:r>
    </w:p>
    <w:p w14:paraId="1E79D1C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投标人投标报价不得超过招标人公布的最高限价，否则按废标处理。</w:t>
      </w:r>
    </w:p>
    <w:p w14:paraId="3E84A56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lang w:eastAsia="zh-CN"/>
        </w:rPr>
        <w:t>本次报价须为人民币报价，报价包括本项目所有</w:t>
      </w:r>
      <w:r>
        <w:rPr>
          <w:rFonts w:hint="eastAsia" w:ascii="方正仿宋_GBK" w:hAnsi="方正仿宋_GBK" w:eastAsia="方正仿宋_GBK" w:cs="方正仿宋_GBK"/>
          <w:color w:val="auto"/>
          <w:sz w:val="32"/>
          <w:szCs w:val="32"/>
          <w:highlight w:val="none"/>
          <w:lang w:val="en-US" w:eastAsia="zh-CN"/>
        </w:rPr>
        <w:t>设计</w:t>
      </w:r>
      <w:r>
        <w:rPr>
          <w:rFonts w:hint="eastAsia" w:ascii="方正仿宋_GBK" w:hAnsi="方正仿宋_GBK" w:eastAsia="方正仿宋_GBK" w:cs="方正仿宋_GBK"/>
          <w:color w:val="auto"/>
          <w:sz w:val="32"/>
          <w:szCs w:val="32"/>
          <w:highlight w:val="none"/>
          <w:lang w:eastAsia="zh-CN"/>
        </w:rPr>
        <w:t>费、各种应纳的税费等完成本项目的一切费用。因</w:t>
      </w:r>
      <w:r>
        <w:rPr>
          <w:rFonts w:hint="eastAsia" w:ascii="方正仿宋_GBK" w:hAnsi="方正仿宋_GBK" w:eastAsia="方正仿宋_GBK" w:cs="方正仿宋_GBK"/>
          <w:color w:val="auto"/>
          <w:sz w:val="32"/>
          <w:szCs w:val="32"/>
          <w:highlight w:val="none"/>
          <w:lang w:val="en-US" w:eastAsia="zh-CN"/>
        </w:rPr>
        <w:t>投标人</w:t>
      </w:r>
      <w:r>
        <w:rPr>
          <w:rFonts w:hint="eastAsia" w:ascii="方正仿宋_GBK" w:hAnsi="方正仿宋_GBK" w:eastAsia="方正仿宋_GBK" w:cs="方正仿宋_GBK"/>
          <w:color w:val="auto"/>
          <w:sz w:val="32"/>
          <w:szCs w:val="32"/>
          <w:highlight w:val="none"/>
          <w:lang w:eastAsia="zh-CN"/>
        </w:rPr>
        <w:t>自身原因造成漏报、少报皆由其自行承担责任，</w:t>
      </w:r>
      <w:r>
        <w:rPr>
          <w:rFonts w:hint="eastAsia" w:ascii="方正仿宋_GBK" w:hAnsi="方正仿宋_GBK" w:eastAsia="方正仿宋_GBK" w:cs="方正仿宋_GBK"/>
          <w:color w:val="auto"/>
          <w:sz w:val="32"/>
          <w:szCs w:val="32"/>
          <w:highlight w:val="none"/>
          <w:lang w:val="en-US" w:eastAsia="zh-CN"/>
        </w:rPr>
        <w:t>招标</w:t>
      </w:r>
      <w:r>
        <w:rPr>
          <w:rFonts w:hint="eastAsia" w:ascii="方正仿宋_GBK" w:hAnsi="方正仿宋_GBK" w:eastAsia="方正仿宋_GBK" w:cs="方正仿宋_GBK"/>
          <w:color w:val="auto"/>
          <w:sz w:val="32"/>
          <w:szCs w:val="32"/>
          <w:highlight w:val="none"/>
          <w:lang w:eastAsia="zh-CN"/>
        </w:rPr>
        <w:t>人不再补偿。</w:t>
      </w:r>
    </w:p>
    <w:p w14:paraId="4817159D">
      <w:pPr>
        <w:keepNext w:val="0"/>
        <w:keepLines w:val="0"/>
        <w:pageBreakBefore w:val="0"/>
        <w:kinsoku/>
        <w:wordWrap/>
        <w:overflowPunct/>
        <w:topLinePunct w:val="0"/>
        <w:autoSpaceDE/>
        <w:autoSpaceDN/>
        <w:bidi w:val="0"/>
        <w:adjustRightIn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sz w:val="32"/>
          <w:szCs w:val="32"/>
          <w:lang w:val="en-US" w:eastAsia="zh-CN"/>
        </w:rPr>
      </w:pPr>
      <w:r>
        <w:rPr>
          <w:rFonts w:hint="eastAsia" w:ascii="方正黑体_GBK" w:hAnsi="方正黑体_GBK" w:eastAsia="方正黑体_GBK" w:cs="方正黑体_GBK"/>
          <w:snapToGrid w:val="0"/>
          <w:color w:val="auto"/>
          <w:w w:val="99"/>
          <w:sz w:val="32"/>
          <w:szCs w:val="32"/>
          <w:lang w:val="en-US" w:eastAsia="zh-CN"/>
        </w:rPr>
        <w:t>五</w:t>
      </w:r>
      <w:r>
        <w:rPr>
          <w:rFonts w:hint="eastAsia" w:ascii="方正黑体_GBK" w:hAnsi="方正黑体_GBK" w:eastAsia="方正黑体_GBK" w:cs="方正黑体_GBK"/>
          <w:snapToGrid w:val="0"/>
          <w:color w:val="auto"/>
          <w:w w:val="99"/>
          <w:sz w:val="32"/>
          <w:szCs w:val="32"/>
        </w:rPr>
        <w:t>、付款</w:t>
      </w:r>
      <w:r>
        <w:rPr>
          <w:rFonts w:hint="eastAsia" w:ascii="方正黑体_GBK" w:hAnsi="方正黑体_GBK" w:eastAsia="方正黑体_GBK" w:cs="方正黑体_GBK"/>
          <w:snapToGrid w:val="0"/>
          <w:color w:val="auto"/>
          <w:w w:val="99"/>
          <w:sz w:val="32"/>
          <w:szCs w:val="32"/>
          <w:lang w:val="en-US" w:eastAsia="zh-CN"/>
        </w:rPr>
        <w:t>方式</w:t>
      </w:r>
    </w:p>
    <w:p w14:paraId="7D9C87C6">
      <w:pPr>
        <w:snapToGrid w:val="0"/>
        <w:spacing w:line="360" w:lineRule="auto"/>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val="en-US" w:eastAsia="zh-CN"/>
        </w:rPr>
        <w:t>验收合格后支付合同金额的97%，质保期三年满后支付合同金额的3%</w:t>
      </w:r>
      <w:r>
        <w:rPr>
          <w:rFonts w:hint="eastAsia" w:ascii="方正仿宋_GBK" w:hAnsi="方正仿宋_GBK" w:eastAsia="方正仿宋_GBK" w:cs="方正仿宋_GBK"/>
          <w:color w:val="auto"/>
          <w:sz w:val="32"/>
          <w:szCs w:val="32"/>
          <w:highlight w:val="none"/>
        </w:rPr>
        <w:t>。</w:t>
      </w:r>
    </w:p>
    <w:p w14:paraId="4DAE7CEE">
      <w:pPr>
        <w:spacing w:line="580" w:lineRule="exact"/>
        <w:ind w:firstLine="480" w:firstLineChars="150"/>
        <w:rPr>
          <w:rFonts w:ascii="方正仿宋_GBK" w:hAnsi="Times New Roman" w:eastAsia="方正仿宋_GBK"/>
          <w:color w:val="auto"/>
          <w:sz w:val="32"/>
          <w:szCs w:val="32"/>
        </w:rPr>
      </w:pPr>
      <w:r>
        <w:rPr>
          <w:rFonts w:hint="eastAsia" w:ascii="方正仿宋_GBK" w:hAnsi="Times New Roman" w:eastAsia="方正仿宋_GBK"/>
          <w:color w:val="auto"/>
          <w:sz w:val="32"/>
          <w:szCs w:val="32"/>
        </w:rPr>
        <w:t>（二）本合同所约定价款均为含税价，中标方按现行税法规定及招标人要求开具增值税专用发票。</w:t>
      </w:r>
    </w:p>
    <w:p w14:paraId="6B5C4E6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六</w:t>
      </w:r>
      <w:r>
        <w:rPr>
          <w:rFonts w:hint="eastAsia" w:ascii="方正黑体_GBK" w:hAnsi="方正黑体_GBK" w:eastAsia="方正黑体_GBK" w:cs="方正黑体_GBK"/>
          <w:b/>
          <w:color w:val="auto"/>
          <w:sz w:val="32"/>
          <w:szCs w:val="32"/>
        </w:rPr>
        <w:t>、投标文件要求</w:t>
      </w:r>
    </w:p>
    <w:p w14:paraId="63AB632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（一）投标文件组成：</w:t>
      </w:r>
    </w:p>
    <w:p w14:paraId="227D783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1、投标报价函（需加盖公司鲜章及法人签章）；</w:t>
      </w:r>
    </w:p>
    <w:p w14:paraId="2A9E7A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2、投标清单</w:t>
      </w:r>
      <w:r>
        <w:rPr>
          <w:rFonts w:hint="eastAsia" w:ascii="方正仿宋_GBK" w:hAnsi="方正仿宋_GBK" w:eastAsia="方正仿宋_GBK" w:cs="方正仿宋_GBK"/>
          <w:color w:val="auto"/>
          <w:sz w:val="32"/>
          <w:szCs w:val="32"/>
          <w:highlight w:val="none"/>
          <w:lang w:eastAsia="zh-CN"/>
        </w:rPr>
        <w:t>（需加盖公司鲜章）</w:t>
      </w:r>
    </w:p>
    <w:p w14:paraId="69B751D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有效公司营业执照复印件（需加盖公司鲜章）；</w:t>
      </w:r>
    </w:p>
    <w:p w14:paraId="290E560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、有效公司资质证书复印件（需加盖公司鲜章）；</w:t>
      </w:r>
    </w:p>
    <w:p w14:paraId="687F9A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、授权委托书（加盖公司鲜章）；</w:t>
      </w:r>
    </w:p>
    <w:p w14:paraId="0E09828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6、承诺书（加盖公司鲜章）；</w:t>
      </w:r>
    </w:p>
    <w:p w14:paraId="32B3A77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（二）投标文件制作</w:t>
      </w:r>
    </w:p>
    <w:p w14:paraId="097ED44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1、各投标人应当按要求编制投标文件，并对</w:t>
      </w:r>
      <w:r>
        <w:rPr>
          <w:rFonts w:hint="eastAsia" w:ascii="方正仿宋_GBK" w:hAnsi="方正仿宋_GBK" w:eastAsia="方正仿宋_GBK" w:cs="方正仿宋_GBK"/>
          <w:color w:val="auto"/>
          <w:sz w:val="32"/>
          <w:szCs w:val="32"/>
          <w:lang w:val="en-US" w:eastAsia="zh-CN"/>
        </w:rPr>
        <w:t>投标</w:t>
      </w:r>
      <w:r>
        <w:rPr>
          <w:rFonts w:hint="eastAsia" w:ascii="方正仿宋_GBK" w:hAnsi="方正仿宋_GBK" w:eastAsia="方正仿宋_GBK" w:cs="方正仿宋_GBK"/>
          <w:color w:val="auto"/>
          <w:sz w:val="32"/>
          <w:szCs w:val="32"/>
        </w:rPr>
        <w:t>文件提出的要求和条件作出实质性响应，纸质文件原则上采用软面订本，同时应编制完整的页码、目录。响应文件</w:t>
      </w:r>
      <w:r>
        <w:rPr>
          <w:rFonts w:hint="eastAsia" w:ascii="方正仿宋_GBK" w:hAnsi="方正仿宋_GBK" w:eastAsia="方正仿宋_GBK" w:cs="方正仿宋_GBK"/>
          <w:b/>
          <w:color w:val="auto"/>
          <w:sz w:val="32"/>
          <w:szCs w:val="32"/>
          <w:u w:val="single"/>
        </w:rPr>
        <w:t>一式二份</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
          <w:color w:val="auto"/>
          <w:sz w:val="32"/>
          <w:szCs w:val="32"/>
        </w:rPr>
        <w:t>两份响应文件应保持内容一致</w:t>
      </w:r>
      <w:r>
        <w:rPr>
          <w:rFonts w:hint="eastAsia" w:ascii="方正仿宋_GBK" w:hAnsi="方正仿宋_GBK" w:eastAsia="方正仿宋_GBK" w:cs="方正仿宋_GBK"/>
          <w:color w:val="auto"/>
          <w:sz w:val="32"/>
          <w:szCs w:val="32"/>
        </w:rPr>
        <w:t>，如投标人两份投标文件不一致，将按有利于招标人的一份投标文件进行评标）</w:t>
      </w:r>
      <w:r>
        <w:rPr>
          <w:rFonts w:hint="eastAsia" w:ascii="方正仿宋_GBK" w:hAnsi="方正仿宋_GBK" w:eastAsia="方正仿宋_GBK" w:cs="方正仿宋_GBK"/>
          <w:color w:val="auto"/>
          <w:sz w:val="32"/>
          <w:szCs w:val="32"/>
          <w:lang w:eastAsia="zh-CN"/>
        </w:rPr>
        <w:t>。</w:t>
      </w:r>
    </w:p>
    <w:p w14:paraId="1E647C54">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2、投标文件应采用档案袋密封，封皮上注明“项目名称”、“投标人名称”字样，档案袋的封口应加盖公章或法人授权代表签字。</w:t>
      </w:r>
    </w:p>
    <w:p w14:paraId="32407341">
      <w:pPr>
        <w:spacing w:line="58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七、投标文件的递交</w:t>
      </w:r>
    </w:p>
    <w:p w14:paraId="6E6C931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（一）投标文件的递交时间：详见谈判公告。</w:t>
      </w:r>
    </w:p>
    <w:p w14:paraId="05F58D09">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（二）递交地点</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重庆市九龙坡区二郎街道融堃</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彩云里</w:t>
      </w:r>
      <w:r>
        <w:rPr>
          <w:rFonts w:hint="eastAsia" w:ascii="方正仿宋_GBK" w:hAnsi="Times New Roman" w:eastAsia="方正仿宋_GBK" w:cs="Times New Roman"/>
          <w:color w:val="auto"/>
          <w:sz w:val="32"/>
          <w:szCs w:val="32"/>
        </w:rPr>
        <w:t>16楼。</w:t>
      </w:r>
    </w:p>
    <w:p w14:paraId="4175C90B">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（三）投标截止时间：详见谈判公告；</w:t>
      </w:r>
    </w:p>
    <w:p w14:paraId="1FFFC12B">
      <w:pPr>
        <w:spacing w:line="580" w:lineRule="exact"/>
        <w:ind w:firstLine="1558" w:firstLineChars="487"/>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开标时间：同投标截止时间。</w:t>
      </w:r>
    </w:p>
    <w:p w14:paraId="394FF71C">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（四）</w:t>
      </w:r>
      <w:r>
        <w:rPr>
          <w:rFonts w:hint="eastAsia" w:ascii="方正仿宋_GBK" w:hAnsi="Times New Roman" w:eastAsia="方正仿宋_GBK" w:cs="Times New Roman"/>
          <w:b/>
          <w:color w:val="auto"/>
          <w:sz w:val="32"/>
          <w:szCs w:val="32"/>
        </w:rPr>
        <w:t>投标截止时间后送达的投标文件招标人不予受理；</w:t>
      </w:r>
    </w:p>
    <w:p w14:paraId="130882A4">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（五）谈判参与人员</w:t>
      </w:r>
    </w:p>
    <w:p w14:paraId="328A9722">
      <w:pPr>
        <w:spacing w:line="580" w:lineRule="exact"/>
        <w:ind w:firstLine="643" w:firstLineChars="200"/>
        <w:rPr>
          <w:rFonts w:ascii="方正仿宋_GBK" w:hAnsi="Times New Roman" w:eastAsia="方正仿宋_GBK" w:cs="Times New Roman"/>
          <w:b/>
          <w:color w:val="auto"/>
          <w:sz w:val="32"/>
          <w:szCs w:val="32"/>
        </w:rPr>
      </w:pPr>
      <w:r>
        <w:rPr>
          <w:rFonts w:hint="eastAsia" w:ascii="方正仿宋_GBK" w:hAnsi="Times New Roman" w:eastAsia="方正仿宋_GBK" w:cs="Times New Roman"/>
          <w:b/>
          <w:color w:val="auto"/>
          <w:sz w:val="32"/>
          <w:szCs w:val="32"/>
        </w:rPr>
        <w:t>1</w:t>
      </w:r>
      <w:r>
        <w:rPr>
          <w:rFonts w:ascii="方正仿宋_GBK" w:hAnsi="Times New Roman" w:eastAsia="方正仿宋_GBK" w:cs="Times New Roman"/>
          <w:b/>
          <w:color w:val="auto"/>
          <w:sz w:val="32"/>
          <w:szCs w:val="32"/>
        </w:rPr>
        <w:t>.</w:t>
      </w:r>
      <w:r>
        <w:rPr>
          <w:rFonts w:hint="eastAsia" w:ascii="方正仿宋_GBK" w:hAnsi="Times New Roman" w:eastAsia="方正仿宋_GBK" w:cs="Times New Roman"/>
          <w:b/>
          <w:color w:val="auto"/>
          <w:sz w:val="32"/>
          <w:szCs w:val="32"/>
        </w:rPr>
        <w:t>收到邀请书的投标人。未收到邀请的投标文件，招标人将拒绝接收。</w:t>
      </w:r>
    </w:p>
    <w:p w14:paraId="08E79D2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2</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各投标人应当派1名代表参与，至少1人应为法定代表人或具有法定代表人授权委托书的授权代表。</w:t>
      </w:r>
    </w:p>
    <w:p w14:paraId="3C9A82DB">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八</w:t>
      </w:r>
      <w:r>
        <w:rPr>
          <w:rFonts w:hint="eastAsia" w:ascii="方正黑体_GBK" w:hAnsi="方正黑体_GBK" w:eastAsia="方正黑体_GBK" w:cs="方正黑体_GBK"/>
          <w:b/>
          <w:color w:val="auto"/>
          <w:sz w:val="32"/>
          <w:szCs w:val="32"/>
        </w:rPr>
        <w:t>、</w:t>
      </w:r>
      <w:r>
        <w:rPr>
          <w:rFonts w:hint="eastAsia" w:ascii="方正黑体_GBK" w:hAnsi="方正黑体_GBK" w:eastAsia="方正黑体_GBK" w:cs="方正黑体_GBK"/>
          <w:b/>
          <w:color w:val="auto"/>
          <w:sz w:val="32"/>
          <w:szCs w:val="32"/>
          <w:lang w:val="en-US" w:eastAsia="zh-CN"/>
        </w:rPr>
        <w:t>谈判</w:t>
      </w:r>
      <w:r>
        <w:rPr>
          <w:rFonts w:hint="eastAsia" w:ascii="方正黑体_GBK" w:hAnsi="方正黑体_GBK" w:eastAsia="方正黑体_GBK" w:cs="方正黑体_GBK"/>
          <w:b/>
          <w:color w:val="auto"/>
          <w:sz w:val="32"/>
          <w:szCs w:val="32"/>
        </w:rPr>
        <w:t>程序及方法</w:t>
      </w:r>
    </w:p>
    <w:p w14:paraId="7DC9B43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bCs/>
          <w:snapToGrid w:val="0"/>
          <w:color w:val="auto"/>
          <w:sz w:val="32"/>
          <w:szCs w:val="32"/>
        </w:rPr>
      </w:pP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一</w:t>
      </w: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谈判</w:t>
      </w:r>
      <w:r>
        <w:rPr>
          <w:rFonts w:hint="eastAsia" w:ascii="方正仿宋_GBK" w:hAnsi="方正仿宋_GBK" w:eastAsia="方正仿宋_GBK" w:cs="方正仿宋_GBK"/>
          <w:bCs/>
          <w:snapToGrid w:val="0"/>
          <w:color w:val="auto"/>
          <w:sz w:val="32"/>
          <w:szCs w:val="32"/>
        </w:rPr>
        <w:t>程序</w:t>
      </w:r>
    </w:p>
    <w:p w14:paraId="5B90DEC7">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1.投标人签到。</w:t>
      </w:r>
    </w:p>
    <w:p w14:paraId="37B293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2.宣布谈判纪律，公布在投标截止时间前递交投标文件的投标人名称。</w:t>
      </w:r>
    </w:p>
    <w:p w14:paraId="3389C5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3.检查投标文件的密封情况。</w:t>
      </w:r>
    </w:p>
    <w:p w14:paraId="522919D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4.随机开启投标文件，公布投标人名称、投标报价及其他内容，记录在表格上并由投标人确认签字。因投标人原因未签字确认，视为默认开标记录。</w:t>
      </w:r>
    </w:p>
    <w:p w14:paraId="6812A7F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color w:val="auto"/>
          <w:sz w:val="32"/>
          <w:szCs w:val="32"/>
        </w:rPr>
        <w:t>由低到高</w:t>
      </w:r>
      <w:r>
        <w:rPr>
          <w:rFonts w:hint="eastAsia" w:ascii="方正仿宋_GBK" w:hAnsi="方正仿宋_GBK" w:eastAsia="方正仿宋_GBK" w:cs="方正仿宋_GBK"/>
          <w:color w:val="auto"/>
          <w:sz w:val="32"/>
          <w:szCs w:val="32"/>
        </w:rPr>
        <w:t>的顺序进行排序。</w:t>
      </w:r>
    </w:p>
    <w:p w14:paraId="338536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6.评标小组按前述报价排序由低到高依次对投标人的资格条件进行资格性、符合性审查。</w:t>
      </w:r>
    </w:p>
    <w:p w14:paraId="31F5F9D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63497152">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注：</w:t>
      </w:r>
      <w:r>
        <w:rPr>
          <w:rFonts w:hint="eastAsia" w:ascii="方正仿宋_GBK" w:hAnsi="方正仿宋_GBK" w:eastAsia="方正仿宋_GBK" w:cs="方正仿宋_GBK"/>
          <w:color w:val="auto"/>
          <w:sz w:val="32"/>
          <w:szCs w:val="32"/>
        </w:rPr>
        <w:t>投标人应按谈判公告规定的时间和地点参加谈判并签到，否则其投标文件不得参与谈判。</w:t>
      </w:r>
    </w:p>
    <w:p w14:paraId="2F1514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（二）谈判方法</w:t>
      </w:r>
    </w:p>
    <w:p w14:paraId="72C25FC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（1）评标小组的组建</w:t>
      </w:r>
    </w:p>
    <w:p w14:paraId="3DB465C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由招标人按法律法规及相关规定依法组建评标小组。</w:t>
      </w:r>
    </w:p>
    <w:p w14:paraId="1ED1DAF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（2）评标办法</w:t>
      </w:r>
    </w:p>
    <w:p w14:paraId="248F4476">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b/>
          <w:color w:val="auto"/>
          <w:sz w:val="32"/>
          <w:szCs w:val="32"/>
          <w:u w:val="single"/>
        </w:rPr>
      </w:pPr>
      <w:r>
        <w:rPr>
          <w:rFonts w:hint="eastAsia" w:ascii="方正仿宋_GBK" w:hAnsi="方正仿宋_GBK" w:eastAsia="方正仿宋_GBK" w:cs="方正仿宋_GBK"/>
          <w:b/>
          <w:color w:val="auto"/>
          <w:sz w:val="32"/>
          <w:szCs w:val="32"/>
          <w:u w:val="single"/>
        </w:rPr>
        <w:t>1.本项目采用经评审的最低价法。</w:t>
      </w:r>
    </w:p>
    <w:p w14:paraId="2F61A6F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2.评标小组将资格性、符合性审查合格的投标人按报价（不高于最高限价）由低到高排序。</w:t>
      </w:r>
    </w:p>
    <w:p w14:paraId="67F7680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65CDA0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（3）评审标准</w:t>
      </w:r>
    </w:p>
    <w:p w14:paraId="25FFCAA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资格性、符合性审查内容：</w:t>
      </w:r>
    </w:p>
    <w:p w14:paraId="0C67C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1.资格性评审：投标人资格条件、信誉条件等。</w:t>
      </w:r>
    </w:p>
    <w:p w14:paraId="7C75839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2.符合性评审：投标文件格式、投标文件密封、盖章齐全、报价是否符合谈判文件要求等。</w:t>
      </w:r>
    </w:p>
    <w:p w14:paraId="7D1D6FC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资格性、符合性审查中有任何一项不符合要求，其资格性、符合性审查不合格，不得成为中标人。</w:t>
      </w:r>
    </w:p>
    <w:p w14:paraId="797ADC65">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九</w:t>
      </w:r>
      <w:r>
        <w:rPr>
          <w:rFonts w:hint="eastAsia" w:ascii="方正黑体_GBK" w:hAnsi="方正黑体_GBK" w:eastAsia="方正黑体_GBK" w:cs="方正黑体_GBK"/>
          <w:b/>
          <w:color w:val="auto"/>
          <w:sz w:val="32"/>
          <w:szCs w:val="32"/>
        </w:rPr>
        <w:t>、中标人的确认</w:t>
      </w:r>
    </w:p>
    <w:p w14:paraId="4727A87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评审小组本着公开、公正、公平的原则，在按照比选标准比选结束后，比选结果在九龙现代产业集团网站（http://cqxpgyy.com/index/）上进行公示，公示期3天。</w:t>
      </w:r>
    </w:p>
    <w:p w14:paraId="0DE8D6C7">
      <w:pPr>
        <w:pStyle w:val="12"/>
        <w:keepNext w:val="0"/>
        <w:keepLines w:val="0"/>
        <w:pageBreakBefore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（二）若公示期间未收到异议或投诉，招标人将在公示期结束后3日内以书面形式向中标人发出中标通知书。</w:t>
      </w:r>
    </w:p>
    <w:p w14:paraId="0AB21C3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w:t>
      </w:r>
      <w:r>
        <w:rPr>
          <w:rFonts w:hint="eastAsia" w:ascii="方正黑体_GBK" w:hAnsi="方正黑体_GBK" w:eastAsia="方正黑体_GBK" w:cs="方正黑体_GBK"/>
          <w:color w:val="auto"/>
          <w:sz w:val="32"/>
          <w:szCs w:val="32"/>
        </w:rPr>
        <w:t>、合同签订</w:t>
      </w:r>
    </w:p>
    <w:p w14:paraId="19920D9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CF16AC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十一</w:t>
      </w:r>
      <w:r>
        <w:rPr>
          <w:rFonts w:hint="eastAsia" w:ascii="方正黑体_GBK" w:hAnsi="方正黑体_GBK" w:eastAsia="方正黑体_GBK" w:cs="方正黑体_GBK"/>
          <w:color w:val="auto"/>
          <w:sz w:val="32"/>
          <w:szCs w:val="32"/>
        </w:rPr>
        <w:t>、弃标处理</w:t>
      </w:r>
    </w:p>
    <w:p w14:paraId="0D75565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（一）在中标公示结束后三日内，中标人未按规定签订合同的，招标人将其列入重庆九龙现代数字科技有限公司信用黑名单，禁止在重庆九龙现代数字科技有限公司承揽相关业务。</w:t>
      </w:r>
    </w:p>
    <w:p w14:paraId="20DB31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（二）中标人放弃中标，给招标人造成损失的，应当赔偿，同时招标人将其列入重庆九龙现代数字科技有限公司信用黑名单，禁止在重庆九龙现代数字科技有限公司承揽相关业务。</w:t>
      </w:r>
    </w:p>
    <w:p w14:paraId="32577A8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（三）中标人放弃或者被取消中标资格时，招标人可按投标人须知第三部分第二条“谈判程序及方法”确定的原则依次序确定中标人，也可以重新组织谈判。</w:t>
      </w:r>
    </w:p>
    <w:p w14:paraId="02A0B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十二</w:t>
      </w:r>
      <w:r>
        <w:rPr>
          <w:rFonts w:hint="eastAsia" w:ascii="方正黑体_GBK" w:hAnsi="方正黑体_GBK" w:eastAsia="方正黑体_GBK" w:cs="方正黑体_GBK"/>
          <w:color w:val="auto"/>
          <w:sz w:val="32"/>
          <w:szCs w:val="32"/>
        </w:rPr>
        <w:t>、重新招标</w:t>
      </w:r>
    </w:p>
    <w:p w14:paraId="114DD6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有下列情形之一的，招标人将重新招标：</w:t>
      </w:r>
    </w:p>
    <w:p w14:paraId="291F2331">
      <w:pPr>
        <w:keepNext w:val="0"/>
        <w:keepLines w:val="0"/>
        <w:pageBreakBefore w:val="0"/>
        <w:numPr>
          <w:ilvl w:val="0"/>
          <w:numId w:val="1"/>
        </w:numPr>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投标截止时间止，投标人少于3个的；</w:t>
      </w:r>
    </w:p>
    <w:p w14:paraId="4D5E1F4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（二）经评标小组评审后否决所有投标的；</w:t>
      </w:r>
    </w:p>
    <w:p w14:paraId="405F108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（三）法律法规规定的其他需重新招标的情形。</w:t>
      </w:r>
    </w:p>
    <w:p w14:paraId="1265B78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rPr>
        <w:t>、其他</w:t>
      </w:r>
    </w:p>
    <w:p w14:paraId="720838E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除前文要求外，投标人发生以下条款情况之一时，视为无效投标，其投标文件将被拒绝：</w:t>
      </w:r>
    </w:p>
    <w:p w14:paraId="2EBAC69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（一）投标人不符合规定的资格条件的；</w:t>
      </w:r>
    </w:p>
    <w:p w14:paraId="75C12BE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（二）投标人的法定代表人或其授权代表人未签到参加谈判的；</w:t>
      </w:r>
    </w:p>
    <w:p w14:paraId="3857120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（三）法定代表人为同一个人的两个及两个以上法人，母公司、全资子公司及其控股公司参与谈判的；</w:t>
      </w:r>
    </w:p>
    <w:p w14:paraId="00CB18E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（四）单位负责人为同一人或者存在直接控股、管理关系的不同投标人；</w:t>
      </w:r>
    </w:p>
    <w:p w14:paraId="77EB9DF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（五）投标人投标文件内容有与国家现行法律法规相违背的内容，或附有招标人无法接受的条件的。</w:t>
      </w:r>
    </w:p>
    <w:p w14:paraId="4EB6D182">
      <w:pPr>
        <w:rPr>
          <w:rFonts w:hint="eastAsia"/>
          <w:color w:val="auto"/>
        </w:rPr>
      </w:pPr>
    </w:p>
    <w:p w14:paraId="1A0D0626">
      <w:pPr>
        <w:pStyle w:val="12"/>
        <w:rPr>
          <w:rFonts w:hint="eastAsia"/>
          <w:color w:val="auto"/>
        </w:rPr>
      </w:pPr>
    </w:p>
    <w:p w14:paraId="3CE59968">
      <w:pPr>
        <w:rPr>
          <w:rFonts w:hint="eastAsia" w:ascii="宋体" w:hAnsi="宋体"/>
          <w:b/>
          <w:color w:val="auto"/>
          <w:sz w:val="28"/>
          <w:szCs w:val="28"/>
        </w:rPr>
      </w:pPr>
    </w:p>
    <w:p w14:paraId="68805FA5">
      <w:pPr>
        <w:rPr>
          <w:rFonts w:hint="eastAsia" w:ascii="宋体" w:hAnsi="宋体"/>
          <w:b/>
          <w:color w:val="auto"/>
          <w:sz w:val="28"/>
          <w:szCs w:val="28"/>
        </w:rPr>
      </w:pPr>
    </w:p>
    <w:p w14:paraId="051A4B7B">
      <w:pPr>
        <w:rPr>
          <w:rFonts w:hint="eastAsia" w:ascii="宋体" w:hAnsi="宋体"/>
          <w:b/>
          <w:color w:val="auto"/>
          <w:sz w:val="28"/>
          <w:szCs w:val="28"/>
        </w:rPr>
      </w:pPr>
    </w:p>
    <w:p w14:paraId="790FF492">
      <w:pPr>
        <w:rPr>
          <w:rFonts w:hint="eastAsia" w:ascii="宋体" w:hAnsi="宋体"/>
          <w:b/>
          <w:color w:val="auto"/>
          <w:sz w:val="28"/>
          <w:szCs w:val="28"/>
        </w:rPr>
      </w:pPr>
    </w:p>
    <w:p w14:paraId="324D3B6D">
      <w:pPr>
        <w:rPr>
          <w:rFonts w:hint="eastAsia" w:ascii="宋体" w:hAnsi="宋体"/>
          <w:b/>
          <w:color w:val="auto"/>
          <w:sz w:val="28"/>
          <w:szCs w:val="28"/>
        </w:rPr>
      </w:pPr>
    </w:p>
    <w:p w14:paraId="20267614">
      <w:pPr>
        <w:rPr>
          <w:rFonts w:hint="eastAsia" w:ascii="宋体" w:hAnsi="宋体"/>
          <w:b/>
          <w:color w:val="auto"/>
          <w:sz w:val="28"/>
          <w:szCs w:val="28"/>
        </w:rPr>
      </w:pPr>
    </w:p>
    <w:p w14:paraId="02A0FEFA">
      <w:pPr>
        <w:rPr>
          <w:rFonts w:hint="eastAsia" w:ascii="宋体" w:hAnsi="宋体"/>
          <w:b/>
          <w:color w:val="auto"/>
          <w:sz w:val="28"/>
          <w:szCs w:val="28"/>
        </w:rPr>
      </w:pPr>
    </w:p>
    <w:p w14:paraId="26BFA783">
      <w:pPr>
        <w:rPr>
          <w:rFonts w:hint="eastAsia" w:ascii="宋体" w:hAnsi="宋体"/>
          <w:b/>
          <w:color w:val="auto"/>
          <w:sz w:val="28"/>
          <w:szCs w:val="28"/>
        </w:rPr>
      </w:pPr>
    </w:p>
    <w:p w14:paraId="50072BAA">
      <w:pPr>
        <w:rPr>
          <w:rFonts w:ascii="宋体" w:hAnsi="宋体"/>
          <w:b/>
          <w:color w:val="auto"/>
          <w:sz w:val="28"/>
          <w:szCs w:val="28"/>
        </w:rPr>
      </w:pPr>
      <w:r>
        <w:rPr>
          <w:rFonts w:hint="eastAsia" w:ascii="宋体" w:hAnsi="宋体"/>
          <w:b/>
          <w:color w:val="auto"/>
          <w:sz w:val="28"/>
          <w:szCs w:val="28"/>
        </w:rPr>
        <w:t>附</w:t>
      </w:r>
      <w:r>
        <w:rPr>
          <w:rFonts w:ascii="宋体" w:hAnsi="宋体"/>
          <w:b/>
          <w:color w:val="auto"/>
          <w:sz w:val="28"/>
          <w:szCs w:val="28"/>
        </w:rPr>
        <w:t>件</w:t>
      </w:r>
      <w:r>
        <w:rPr>
          <w:rFonts w:hint="eastAsia" w:ascii="宋体" w:hAnsi="宋体"/>
          <w:b/>
          <w:color w:val="auto"/>
          <w:sz w:val="28"/>
          <w:szCs w:val="28"/>
        </w:rPr>
        <w:t>1</w:t>
      </w:r>
    </w:p>
    <w:p w14:paraId="20D8A6C2">
      <w:pPr>
        <w:pStyle w:val="2"/>
        <w:jc w:val="center"/>
        <w:rPr>
          <w:rFonts w:ascii="宋体" w:hAnsi="宋体"/>
          <w:color w:val="auto"/>
          <w:sz w:val="28"/>
        </w:rPr>
      </w:pPr>
      <w:bookmarkStart w:id="0" w:name="_Toc287607867"/>
      <w:bookmarkStart w:id="1" w:name="_Toc224103495"/>
      <w:bookmarkStart w:id="2" w:name="_Toc369083107"/>
      <w:bookmarkStart w:id="3" w:name="_Toc277082643"/>
      <w:bookmarkStart w:id="4" w:name="_Toc333246452"/>
      <w:r>
        <w:rPr>
          <w:rFonts w:hint="eastAsia" w:ascii="宋体" w:hAnsi="宋体"/>
          <w:color w:val="auto"/>
          <w:sz w:val="28"/>
        </w:rPr>
        <w:t>（一）投标函</w:t>
      </w:r>
      <w:bookmarkEnd w:id="0"/>
      <w:bookmarkEnd w:id="1"/>
      <w:bookmarkEnd w:id="2"/>
      <w:bookmarkEnd w:id="3"/>
      <w:bookmarkEnd w:id="4"/>
    </w:p>
    <w:p w14:paraId="092C3D7C">
      <w:pPr>
        <w:tabs>
          <w:tab w:val="left" w:pos="2640"/>
        </w:tabs>
        <w:autoSpaceDE w:val="0"/>
        <w:autoSpaceDN w:val="0"/>
        <w:adjustRightInd w:val="0"/>
        <w:spacing w:line="220" w:lineRule="exact"/>
        <w:ind w:left="120" w:right="-20"/>
        <w:rPr>
          <w:rFonts w:ascii="宋体" w:hAnsi="宋体" w:cs="MingLiU"/>
          <w:snapToGrid w:val="0"/>
          <w:color w:val="auto"/>
          <w:szCs w:val="21"/>
        </w:rPr>
      </w:pPr>
      <w:r>
        <w:rPr>
          <w:rFonts w:ascii="宋体" w:hAnsi="宋体"/>
          <w:snapToGrid w:val="0"/>
          <w:color w:val="auto"/>
          <w:szCs w:val="21"/>
          <w:u w:val="single"/>
        </w:rPr>
        <w:tab/>
      </w:r>
      <w:r>
        <w:rPr>
          <w:rFonts w:hint="eastAsia" w:ascii="宋体" w:hAnsi="宋体" w:cs="MingLiU"/>
          <w:snapToGrid w:val="0"/>
          <w:color w:val="auto"/>
          <w:szCs w:val="21"/>
        </w:rPr>
        <w:t>（招标人名称）：</w:t>
      </w:r>
    </w:p>
    <w:p w14:paraId="5F1D06DD">
      <w:pPr>
        <w:autoSpaceDE w:val="0"/>
        <w:autoSpaceDN w:val="0"/>
        <w:adjustRightInd w:val="0"/>
        <w:spacing w:before="15" w:line="140" w:lineRule="exact"/>
        <w:rPr>
          <w:rFonts w:ascii="宋体" w:hAnsi="宋体" w:cs="MingLiU"/>
          <w:snapToGrid w:val="0"/>
          <w:color w:val="auto"/>
          <w:sz w:val="14"/>
          <w:szCs w:val="14"/>
        </w:rPr>
      </w:pPr>
    </w:p>
    <w:p w14:paraId="2048CF72">
      <w:pPr>
        <w:autoSpaceDE w:val="0"/>
        <w:autoSpaceDN w:val="0"/>
        <w:adjustRightInd w:val="0"/>
        <w:spacing w:line="200" w:lineRule="exact"/>
        <w:rPr>
          <w:rFonts w:ascii="宋体" w:hAnsi="宋体" w:cs="MingLiU"/>
          <w:snapToGrid w:val="0"/>
          <w:color w:val="auto"/>
          <w:sz w:val="20"/>
          <w:szCs w:val="20"/>
        </w:rPr>
      </w:pPr>
    </w:p>
    <w:p w14:paraId="3E96A483">
      <w:pPr>
        <w:autoSpaceDE w:val="0"/>
        <w:autoSpaceDN w:val="0"/>
        <w:adjustRightInd w:val="0"/>
        <w:spacing w:line="200" w:lineRule="exact"/>
        <w:rPr>
          <w:rFonts w:ascii="宋体" w:hAnsi="宋体" w:cs="MingLiU"/>
          <w:snapToGrid w:val="0"/>
          <w:color w:val="auto"/>
          <w:sz w:val="20"/>
          <w:szCs w:val="20"/>
        </w:rPr>
      </w:pPr>
    </w:p>
    <w:p w14:paraId="042A817D">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ascii="宋体" w:hAnsi="宋体" w:cs="MingLiU"/>
          <w:snapToGrid w:val="0"/>
          <w:color w:val="auto"/>
          <w:szCs w:val="21"/>
        </w:rPr>
      </w:pPr>
      <w:r>
        <w:rPr>
          <w:rFonts w:ascii="宋体" w:hAnsi="宋体"/>
          <w:snapToGrid w:val="0"/>
          <w:color w:val="auto"/>
          <w:szCs w:val="21"/>
        </w:rPr>
        <w:t>1</w:t>
      </w:r>
      <w:r>
        <w:rPr>
          <w:rFonts w:hint="eastAsia" w:ascii="宋体" w:hAnsi="宋体" w:cs="MingLiU"/>
          <w:snapToGrid w:val="0"/>
          <w:color w:val="auto"/>
          <w:szCs w:val="21"/>
        </w:rPr>
        <w:t>．我方已仔细研究了</w:t>
      </w:r>
      <w:r>
        <w:rPr>
          <w:rFonts w:hint="eastAsia" w:ascii="宋体" w:hAnsi="宋体" w:cs="MingLiU"/>
          <w:snapToGrid w:val="0"/>
          <w:color w:val="auto"/>
          <w:szCs w:val="21"/>
          <w:u w:val="single"/>
          <w:lang w:val="en-US" w:eastAsia="zh-CN"/>
        </w:rPr>
        <w:t xml:space="preserve">           </w:t>
      </w:r>
      <w:r>
        <w:rPr>
          <w:rFonts w:ascii="宋体" w:hAnsi="宋体"/>
          <w:snapToGrid w:val="0"/>
          <w:color w:val="auto"/>
          <w:szCs w:val="21"/>
          <w:u w:val="single"/>
        </w:rPr>
        <w:tab/>
      </w:r>
      <w:r>
        <w:rPr>
          <w:rFonts w:hint="eastAsia" w:ascii="宋体" w:hAnsi="宋体" w:cs="MingLiU"/>
          <w:snapToGrid w:val="0"/>
          <w:color w:val="auto"/>
          <w:szCs w:val="21"/>
        </w:rPr>
        <w:t>（项目名称）招标文件的全部内容，愿意以人民币</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元（大写：</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）的总</w:t>
      </w:r>
      <w:r>
        <w:rPr>
          <w:rFonts w:ascii="宋体" w:hAnsi="宋体" w:cs="MingLiU"/>
          <w:snapToGrid w:val="0"/>
          <w:color w:val="auto"/>
          <w:szCs w:val="21"/>
        </w:rPr>
        <w:t>价</w:t>
      </w:r>
      <w:r>
        <w:rPr>
          <w:rFonts w:hint="eastAsia" w:ascii="宋体" w:hAnsi="宋体" w:cs="MingLiU"/>
          <w:snapToGrid w:val="0"/>
          <w:color w:val="auto"/>
          <w:szCs w:val="21"/>
        </w:rPr>
        <w:t>作为本次投标的</w:t>
      </w:r>
      <w:r>
        <w:rPr>
          <w:rFonts w:hint="eastAsia" w:ascii="宋体" w:hAnsi="宋体"/>
          <w:color w:val="auto"/>
          <w:szCs w:val="21"/>
        </w:rPr>
        <w:t>总报</w:t>
      </w:r>
      <w:r>
        <w:rPr>
          <w:rFonts w:ascii="宋体" w:hAnsi="宋体"/>
          <w:color w:val="auto"/>
          <w:szCs w:val="21"/>
        </w:rPr>
        <w:t>价</w:t>
      </w:r>
      <w:r>
        <w:rPr>
          <w:rFonts w:hint="eastAsia" w:ascii="宋体" w:hAnsi="宋体"/>
          <w:color w:val="auto"/>
          <w:szCs w:val="21"/>
        </w:rPr>
        <w:t>，质量技术要求及验收方法：</w:t>
      </w:r>
      <w:r>
        <w:rPr>
          <w:rFonts w:hint="eastAsia" w:ascii="宋体" w:hAnsi="宋体"/>
          <w:color w:val="auto"/>
          <w:szCs w:val="21"/>
          <w:u w:val="single"/>
        </w:rPr>
        <w:t>满足</w:t>
      </w:r>
      <w:r>
        <w:rPr>
          <w:rFonts w:hint="eastAsia" w:ascii="宋体" w:hAnsi="宋体"/>
          <w:color w:val="auto"/>
          <w:szCs w:val="21"/>
          <w:u w:val="single"/>
          <w:lang w:val="en-US" w:eastAsia="zh-CN"/>
        </w:rPr>
        <w:t>竞争性谈判文件</w:t>
      </w:r>
      <w:r>
        <w:rPr>
          <w:rFonts w:hint="eastAsia" w:ascii="宋体" w:hAnsi="宋体"/>
          <w:color w:val="auto"/>
          <w:szCs w:val="21"/>
          <w:u w:val="single"/>
        </w:rPr>
        <w:t>要求</w:t>
      </w:r>
      <w:r>
        <w:rPr>
          <w:rFonts w:hint="eastAsia" w:ascii="宋体" w:hAnsi="宋体" w:cs="MingLiU"/>
          <w:snapToGrid w:val="0"/>
          <w:color w:val="auto"/>
          <w:szCs w:val="21"/>
        </w:rPr>
        <w:t>，工期</w:t>
      </w:r>
      <w:r>
        <w:rPr>
          <w:rFonts w:hint="eastAsia" w:ascii="宋体" w:hAnsi="宋体" w:cs="MingLiU"/>
          <w:snapToGrid w:val="0"/>
          <w:color w:val="auto"/>
          <w:szCs w:val="21"/>
          <w:u w:val="single"/>
          <w:lang w:val="en-US" w:eastAsia="zh-CN"/>
        </w:rPr>
        <w:t xml:space="preserve">     </w:t>
      </w:r>
      <w:r>
        <w:rPr>
          <w:rFonts w:ascii="宋体" w:hAnsi="宋体" w:cs="MingLiU"/>
          <w:snapToGrid w:val="0"/>
          <w:color w:val="auto"/>
          <w:szCs w:val="21"/>
        </w:rPr>
        <w:t>日历天。</w:t>
      </w:r>
    </w:p>
    <w:p w14:paraId="1E81AEE5">
      <w:pPr>
        <w:autoSpaceDE w:val="0"/>
        <w:autoSpaceDN w:val="0"/>
        <w:adjustRightInd w:val="0"/>
        <w:spacing w:before="15"/>
        <w:ind w:left="540" w:right="-20"/>
        <w:rPr>
          <w:rFonts w:ascii="宋体" w:hAnsi="宋体" w:cs="MingLiU"/>
          <w:snapToGrid w:val="0"/>
          <w:color w:val="auto"/>
          <w:szCs w:val="21"/>
        </w:rPr>
      </w:pPr>
      <w:r>
        <w:rPr>
          <w:rFonts w:ascii="宋体" w:hAnsi="宋体"/>
          <w:snapToGrid w:val="0"/>
          <w:color w:val="auto"/>
          <w:szCs w:val="21"/>
        </w:rPr>
        <w:t>2</w:t>
      </w:r>
      <w:r>
        <w:rPr>
          <w:rFonts w:hint="eastAsia" w:ascii="宋体" w:hAnsi="宋体" w:cs="MingLiU"/>
          <w:snapToGrid w:val="0"/>
          <w:color w:val="auto"/>
          <w:szCs w:val="21"/>
        </w:rPr>
        <w:t>．我方承诺在投标有效期内不修改、撤销投标文件。</w:t>
      </w:r>
    </w:p>
    <w:p w14:paraId="0998589E">
      <w:pPr>
        <w:autoSpaceDE w:val="0"/>
        <w:autoSpaceDN w:val="0"/>
        <w:adjustRightInd w:val="0"/>
        <w:spacing w:before="11" w:line="100" w:lineRule="exact"/>
        <w:rPr>
          <w:rFonts w:ascii="宋体" w:hAnsi="宋体" w:cs="MingLiU"/>
          <w:snapToGrid w:val="0"/>
          <w:color w:val="auto"/>
          <w:sz w:val="10"/>
          <w:szCs w:val="10"/>
        </w:rPr>
      </w:pPr>
    </w:p>
    <w:p w14:paraId="54AD9175">
      <w:pPr>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3</w:t>
      </w:r>
      <w:r>
        <w:rPr>
          <w:rFonts w:hint="eastAsia" w:ascii="宋体" w:hAnsi="宋体" w:cs="MingLiU"/>
          <w:snapToGrid w:val="0"/>
          <w:color w:val="auto"/>
          <w:szCs w:val="21"/>
        </w:rPr>
        <w:t>．如我方中标：</w:t>
      </w:r>
    </w:p>
    <w:p w14:paraId="01C33ABF">
      <w:pPr>
        <w:autoSpaceDE w:val="0"/>
        <w:autoSpaceDN w:val="0"/>
        <w:adjustRightInd w:val="0"/>
        <w:spacing w:before="11" w:line="100" w:lineRule="exact"/>
        <w:rPr>
          <w:rFonts w:ascii="宋体" w:hAnsi="宋体" w:cs="MingLiU"/>
          <w:snapToGrid w:val="0"/>
          <w:color w:val="auto"/>
          <w:sz w:val="10"/>
          <w:szCs w:val="10"/>
        </w:rPr>
      </w:pPr>
    </w:p>
    <w:p w14:paraId="20499F15">
      <w:pPr>
        <w:autoSpaceDE w:val="0"/>
        <w:autoSpaceDN w:val="0"/>
        <w:adjustRightInd w:val="0"/>
        <w:ind w:right="-80" w:firstLine="945" w:firstLineChars="450"/>
        <w:rPr>
          <w:rFonts w:ascii="宋体" w:hAnsi="宋体" w:cs="MingLiU"/>
          <w:snapToGrid w:val="0"/>
          <w:color w:val="auto"/>
          <w:szCs w:val="21"/>
        </w:rPr>
      </w:pPr>
      <w:r>
        <w:rPr>
          <w:rFonts w:hint="eastAsia" w:ascii="宋体" w:hAnsi="宋体" w:cs="MingLiU"/>
          <w:snapToGrid w:val="0"/>
          <w:color w:val="auto"/>
          <w:szCs w:val="21"/>
        </w:rPr>
        <w:t>我方承诺在收到中标通知书后，在中标通知书规定的期限内与你方签订合同。</w:t>
      </w:r>
    </w:p>
    <w:p w14:paraId="7CC1CA96">
      <w:pPr>
        <w:autoSpaceDE w:val="0"/>
        <w:autoSpaceDN w:val="0"/>
        <w:adjustRightInd w:val="0"/>
        <w:spacing w:before="10" w:line="100" w:lineRule="exact"/>
        <w:rPr>
          <w:rFonts w:ascii="宋体" w:hAnsi="宋体" w:cs="MingLiU"/>
          <w:snapToGrid w:val="0"/>
          <w:color w:val="auto"/>
          <w:sz w:val="10"/>
          <w:szCs w:val="10"/>
        </w:rPr>
      </w:pPr>
    </w:p>
    <w:p w14:paraId="35BEA7E5">
      <w:pPr>
        <w:autoSpaceDE w:val="0"/>
        <w:autoSpaceDN w:val="0"/>
        <w:adjustRightInd w:val="0"/>
        <w:spacing w:before="10" w:line="100" w:lineRule="exact"/>
        <w:rPr>
          <w:rFonts w:ascii="宋体" w:hAnsi="宋体" w:cs="MingLiU"/>
          <w:snapToGrid w:val="0"/>
          <w:color w:val="auto"/>
          <w:sz w:val="10"/>
          <w:szCs w:val="10"/>
        </w:rPr>
      </w:pPr>
    </w:p>
    <w:p w14:paraId="57B62DBD">
      <w:pPr>
        <w:tabs>
          <w:tab w:val="left" w:pos="4940"/>
        </w:tabs>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4</w:t>
      </w:r>
      <w:r>
        <w:rPr>
          <w:rFonts w:hint="eastAsia" w:ascii="宋体" w:hAnsi="宋体" w:cs="MingLiU"/>
          <w:snapToGrid w:val="0"/>
          <w:color w:val="auto"/>
          <w:szCs w:val="21"/>
        </w:rPr>
        <w:t>．</w:t>
      </w:r>
      <w:r>
        <w:rPr>
          <w:rFonts w:ascii="宋体" w:hAnsi="宋体"/>
          <w:snapToGrid w:val="0"/>
          <w:color w:val="auto"/>
          <w:szCs w:val="21"/>
          <w:u w:val="single"/>
        </w:rPr>
        <w:tab/>
      </w:r>
      <w:r>
        <w:rPr>
          <w:rFonts w:hint="eastAsia" w:ascii="宋体" w:hAnsi="宋体" w:cs="MingLiU"/>
          <w:snapToGrid w:val="0"/>
          <w:color w:val="auto"/>
          <w:szCs w:val="21"/>
        </w:rPr>
        <w:t>（其他补充说明）。</w:t>
      </w:r>
    </w:p>
    <w:p w14:paraId="22EED7FB">
      <w:pPr>
        <w:tabs>
          <w:tab w:val="left" w:pos="7140"/>
          <w:tab w:val="left" w:pos="7560"/>
          <w:tab w:val="left" w:pos="8300"/>
        </w:tabs>
        <w:autoSpaceDE w:val="0"/>
        <w:autoSpaceDN w:val="0"/>
        <w:adjustRightInd w:val="0"/>
        <w:spacing w:line="370" w:lineRule="auto"/>
        <w:ind w:right="210"/>
        <w:rPr>
          <w:rFonts w:ascii="宋体" w:hAnsi="宋体" w:cs="MingLiU"/>
          <w:snapToGrid w:val="0"/>
          <w:color w:val="auto"/>
          <w:szCs w:val="21"/>
        </w:rPr>
      </w:pPr>
    </w:p>
    <w:p w14:paraId="4CFF5343">
      <w:pPr>
        <w:tabs>
          <w:tab w:val="left" w:pos="7140"/>
          <w:tab w:val="left" w:pos="7560"/>
          <w:tab w:val="left" w:pos="8300"/>
        </w:tabs>
        <w:autoSpaceDE w:val="0"/>
        <w:autoSpaceDN w:val="0"/>
        <w:adjustRightInd w:val="0"/>
        <w:ind w:right="210"/>
        <w:rPr>
          <w:rFonts w:ascii="宋体" w:hAnsi="宋体" w:cs="MingLiU"/>
          <w:snapToGrid w:val="0"/>
          <w:color w:val="auto"/>
          <w:szCs w:val="21"/>
        </w:rPr>
      </w:pPr>
    </w:p>
    <w:p w14:paraId="071C9F31">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79605E61">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02AB8DC8">
      <w:pPr>
        <w:tabs>
          <w:tab w:val="left" w:pos="7140"/>
          <w:tab w:val="left" w:pos="7560"/>
          <w:tab w:val="left" w:pos="8300"/>
        </w:tabs>
        <w:autoSpaceDE w:val="0"/>
        <w:autoSpaceDN w:val="0"/>
        <w:adjustRightInd w:val="0"/>
        <w:ind w:right="210" w:firstLine="1995" w:firstLineChars="9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57B9B0D8">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77189E08">
      <w:pPr>
        <w:tabs>
          <w:tab w:val="left" w:pos="7035"/>
          <w:tab w:val="left" w:pos="7560"/>
          <w:tab w:val="left" w:pos="8300"/>
        </w:tabs>
        <w:autoSpaceDE w:val="0"/>
        <w:autoSpaceDN w:val="0"/>
        <w:adjustRightInd w:val="0"/>
        <w:ind w:right="210" w:firstLine="1984" w:firstLineChars="945"/>
        <w:rPr>
          <w:rFonts w:ascii="宋体" w:hAnsi="宋体" w:cs="MingLiU"/>
          <w:snapToGrid w:val="0"/>
          <w:color w:val="auto"/>
          <w:szCs w:val="21"/>
        </w:rPr>
      </w:pPr>
      <w:r>
        <w:rPr>
          <w:rFonts w:hint="eastAsia" w:ascii="宋体" w:hAnsi="宋体" w:cs="MingLiU"/>
          <w:snapToGrid w:val="0"/>
          <w:color w:val="auto"/>
          <w:szCs w:val="21"/>
        </w:rPr>
        <w:t>地址：</w:t>
      </w:r>
      <w:r>
        <w:rPr>
          <w:rFonts w:ascii="宋体" w:hAnsi="宋体"/>
          <w:snapToGrid w:val="0"/>
          <w:color w:val="auto"/>
          <w:szCs w:val="21"/>
          <w:u w:val="single"/>
        </w:rPr>
        <w:tab/>
      </w:r>
    </w:p>
    <w:p w14:paraId="74FCE830">
      <w:pPr>
        <w:autoSpaceDE w:val="0"/>
        <w:autoSpaceDN w:val="0"/>
        <w:adjustRightInd w:val="0"/>
        <w:spacing w:before="14"/>
        <w:rPr>
          <w:rFonts w:ascii="宋体" w:hAnsi="宋体" w:cs="MingLiU"/>
          <w:snapToGrid w:val="0"/>
          <w:color w:val="auto"/>
          <w:sz w:val="20"/>
          <w:szCs w:val="20"/>
        </w:rPr>
      </w:pPr>
    </w:p>
    <w:p w14:paraId="22EA4DD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电话：</w:t>
      </w:r>
      <w:r>
        <w:rPr>
          <w:rFonts w:hint="eastAsia" w:ascii="宋体" w:hAnsi="宋体"/>
          <w:snapToGrid w:val="0"/>
          <w:color w:val="auto"/>
          <w:szCs w:val="21"/>
          <w:u w:val="single"/>
        </w:rPr>
        <w:t>　　　　　　　　　　　　　　　　　　　　</w:t>
      </w:r>
    </w:p>
    <w:p w14:paraId="0F8BCD15">
      <w:pPr>
        <w:autoSpaceDE w:val="0"/>
        <w:autoSpaceDN w:val="0"/>
        <w:adjustRightInd w:val="0"/>
        <w:spacing w:before="13"/>
        <w:rPr>
          <w:rFonts w:ascii="宋体" w:hAnsi="宋体" w:cs="MingLiU"/>
          <w:snapToGrid w:val="0"/>
          <w:color w:val="auto"/>
          <w:sz w:val="20"/>
          <w:szCs w:val="20"/>
        </w:rPr>
      </w:pPr>
    </w:p>
    <w:p w14:paraId="4E85EBA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传真：</w:t>
      </w:r>
      <w:r>
        <w:rPr>
          <w:rFonts w:hint="eastAsia" w:ascii="宋体" w:hAnsi="宋体"/>
          <w:snapToGrid w:val="0"/>
          <w:color w:val="auto"/>
          <w:szCs w:val="21"/>
          <w:u w:val="single"/>
        </w:rPr>
        <w:t>　　　　　　　　　　　　　　　　　　　　</w:t>
      </w:r>
    </w:p>
    <w:p w14:paraId="044D2D11">
      <w:pPr>
        <w:tabs>
          <w:tab w:val="left" w:pos="8300"/>
        </w:tabs>
        <w:autoSpaceDE w:val="0"/>
        <w:autoSpaceDN w:val="0"/>
        <w:adjustRightInd w:val="0"/>
        <w:ind w:left="3796" w:right="-20"/>
        <w:rPr>
          <w:rFonts w:ascii="宋体" w:hAnsi="宋体" w:cs="MingLiU"/>
          <w:snapToGrid w:val="0"/>
          <w:color w:val="auto"/>
          <w:szCs w:val="21"/>
        </w:rPr>
      </w:pPr>
    </w:p>
    <w:p w14:paraId="012154B8">
      <w:pPr>
        <w:tabs>
          <w:tab w:val="left" w:pos="8300"/>
        </w:tabs>
        <w:autoSpaceDE w:val="0"/>
        <w:autoSpaceDN w:val="0"/>
        <w:adjustRightInd w:val="0"/>
        <w:ind w:left="1985" w:right="-20"/>
        <w:rPr>
          <w:rFonts w:ascii="宋体" w:hAnsi="宋体" w:cs="MingLiU"/>
          <w:snapToGrid w:val="0"/>
          <w:color w:val="auto"/>
          <w:sz w:val="20"/>
          <w:szCs w:val="20"/>
        </w:rPr>
      </w:pPr>
      <w:r>
        <w:rPr>
          <w:rFonts w:hint="eastAsia" w:ascii="宋体" w:hAnsi="宋体" w:cs="MingLiU"/>
          <w:snapToGrid w:val="0"/>
          <w:color w:val="auto"/>
          <w:szCs w:val="21"/>
        </w:rPr>
        <w:t>邮政编码：</w:t>
      </w:r>
      <w:r>
        <w:rPr>
          <w:rFonts w:hint="eastAsia" w:ascii="宋体" w:hAnsi="宋体" w:cs="MingLiU"/>
          <w:snapToGrid w:val="0"/>
          <w:color w:val="auto"/>
          <w:w w:val="200"/>
          <w:szCs w:val="21"/>
          <w:u w:val="single"/>
        </w:rPr>
        <w:t>　　　　　　　　　</w:t>
      </w:r>
    </w:p>
    <w:p w14:paraId="103D1784">
      <w:pPr>
        <w:autoSpaceDE w:val="0"/>
        <w:autoSpaceDN w:val="0"/>
        <w:adjustRightInd w:val="0"/>
        <w:rPr>
          <w:rFonts w:ascii="宋体" w:hAnsi="宋体" w:cs="MingLiU"/>
          <w:snapToGrid w:val="0"/>
          <w:color w:val="auto"/>
          <w:sz w:val="20"/>
          <w:szCs w:val="20"/>
        </w:rPr>
      </w:pPr>
    </w:p>
    <w:p w14:paraId="577D88B6">
      <w:pPr>
        <w:autoSpaceDE w:val="0"/>
        <w:autoSpaceDN w:val="0"/>
        <w:adjustRightInd w:val="0"/>
        <w:spacing w:before="14" w:line="240" w:lineRule="exact"/>
        <w:rPr>
          <w:rFonts w:ascii="宋体" w:hAnsi="宋体" w:cs="MingLiU"/>
          <w:snapToGrid w:val="0"/>
          <w:color w:val="auto"/>
          <w:sz w:val="24"/>
        </w:rPr>
      </w:pPr>
    </w:p>
    <w:p w14:paraId="690E28A3">
      <w:pPr>
        <w:tabs>
          <w:tab w:val="left" w:pos="6000"/>
          <w:tab w:val="left" w:pos="7040"/>
          <w:tab w:val="left" w:pos="8100"/>
        </w:tabs>
        <w:autoSpaceDE w:val="0"/>
        <w:autoSpaceDN w:val="0"/>
        <w:adjustRightInd w:val="0"/>
        <w:ind w:right="-20" w:firstLine="4924" w:firstLineChars="23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00DD21F1">
      <w:pPr>
        <w:rPr>
          <w:rFonts w:ascii="宋体" w:hAnsi="宋体"/>
          <w:color w:val="auto"/>
          <w:sz w:val="28"/>
          <w:szCs w:val="28"/>
        </w:rPr>
      </w:pPr>
    </w:p>
    <w:p w14:paraId="34588EBC">
      <w:pPr>
        <w:rPr>
          <w:rFonts w:ascii="宋体" w:hAnsi="宋体"/>
          <w:color w:val="auto"/>
          <w:sz w:val="28"/>
          <w:szCs w:val="28"/>
        </w:rPr>
      </w:pPr>
    </w:p>
    <w:p w14:paraId="01705423">
      <w:pPr>
        <w:rPr>
          <w:rFonts w:ascii="宋体" w:hAnsi="宋体"/>
          <w:color w:val="auto"/>
          <w:sz w:val="24"/>
          <w:szCs w:val="28"/>
        </w:rPr>
      </w:pPr>
      <w:r>
        <w:rPr>
          <w:rFonts w:ascii="宋体" w:hAnsi="宋体"/>
          <w:color w:val="auto"/>
          <w:sz w:val="28"/>
          <w:szCs w:val="28"/>
        </w:rPr>
        <w:t>注</w:t>
      </w:r>
      <w:r>
        <w:rPr>
          <w:rFonts w:hint="eastAsia" w:ascii="宋体" w:hAnsi="宋体"/>
          <w:color w:val="auto"/>
          <w:sz w:val="28"/>
          <w:szCs w:val="28"/>
        </w:rPr>
        <w:t>：</w:t>
      </w:r>
      <w:r>
        <w:rPr>
          <w:rFonts w:hint="eastAsia" w:ascii="宋体" w:hAnsi="宋体"/>
          <w:color w:val="auto"/>
          <w:sz w:val="24"/>
          <w:szCs w:val="28"/>
        </w:rPr>
        <w:t>大写金额和小写金额不一致时，以大写金额为准；</w:t>
      </w:r>
    </w:p>
    <w:p w14:paraId="40A3414C">
      <w:pPr>
        <w:rPr>
          <w:color w:val="auto"/>
          <w:sz w:val="28"/>
          <w:szCs w:val="28"/>
        </w:rPr>
      </w:pPr>
    </w:p>
    <w:p w14:paraId="6E8C1E9B">
      <w:pPr>
        <w:rPr>
          <w:color w:val="auto"/>
          <w:sz w:val="28"/>
          <w:szCs w:val="28"/>
        </w:rPr>
      </w:pPr>
    </w:p>
    <w:p w14:paraId="4E0C67E3">
      <w:pPr>
        <w:rPr>
          <w:color w:val="auto"/>
          <w:sz w:val="28"/>
          <w:szCs w:val="28"/>
        </w:rPr>
      </w:pPr>
    </w:p>
    <w:p w14:paraId="557C5E55">
      <w:pPr>
        <w:rPr>
          <w:rFonts w:ascii="宋体" w:hAnsi="宋体"/>
          <w:b/>
          <w:color w:val="auto"/>
          <w:sz w:val="28"/>
          <w:szCs w:val="28"/>
        </w:rPr>
      </w:pPr>
      <w:r>
        <w:rPr>
          <w:rFonts w:hint="eastAsia" w:ascii="宋体" w:hAnsi="宋体"/>
          <w:b/>
          <w:color w:val="auto"/>
          <w:sz w:val="28"/>
          <w:szCs w:val="28"/>
        </w:rPr>
        <w:t>附件</w:t>
      </w:r>
      <w:r>
        <w:rPr>
          <w:rFonts w:ascii="宋体" w:hAnsi="宋体"/>
          <w:b/>
          <w:color w:val="auto"/>
          <w:sz w:val="28"/>
          <w:szCs w:val="28"/>
        </w:rPr>
        <w:t>2</w:t>
      </w:r>
      <w:r>
        <w:rPr>
          <w:rFonts w:hint="eastAsia" w:ascii="宋体" w:hAnsi="宋体"/>
          <w:b/>
          <w:color w:val="auto"/>
          <w:sz w:val="28"/>
          <w:szCs w:val="28"/>
        </w:rPr>
        <w:t>：</w:t>
      </w:r>
    </w:p>
    <w:p w14:paraId="17560EAB">
      <w:pPr>
        <w:widowControl/>
        <w:ind w:firstLine="480" w:firstLineChars="200"/>
        <w:jc w:val="center"/>
        <w:rPr>
          <w:rFonts w:ascii="方正仿宋_GBK" w:hAnsi="宋体" w:eastAsia="方正仿宋_GBK"/>
          <w:color w:val="auto"/>
          <w:sz w:val="24"/>
        </w:rPr>
      </w:pPr>
      <w:r>
        <w:rPr>
          <w:rFonts w:hint="eastAsia" w:ascii="方正仿宋_GBK" w:hAnsi="宋体" w:eastAsia="方正仿宋_GBK"/>
          <w:color w:val="auto"/>
          <w:sz w:val="24"/>
        </w:rPr>
        <w:t>法定代表人身份证明书</w:t>
      </w:r>
    </w:p>
    <w:p w14:paraId="78E11D7B">
      <w:pPr>
        <w:tabs>
          <w:tab w:val="left" w:pos="6300"/>
        </w:tabs>
        <w:snapToGrid w:val="0"/>
        <w:spacing w:line="500" w:lineRule="exact"/>
        <w:ind w:firstLine="570"/>
        <w:rPr>
          <w:rFonts w:ascii="方正仿宋_GBK" w:hAnsi="宋体" w:eastAsia="方正仿宋_GBK"/>
          <w:color w:val="auto"/>
          <w:sz w:val="24"/>
        </w:rPr>
      </w:pPr>
    </w:p>
    <w:p w14:paraId="65A019E7">
      <w:pPr>
        <w:tabs>
          <w:tab w:val="left" w:pos="6300"/>
        </w:tabs>
        <w:snapToGrid w:val="0"/>
        <w:spacing w:line="500" w:lineRule="exact"/>
        <w:ind w:firstLine="570"/>
        <w:rPr>
          <w:rFonts w:hint="eastAsia" w:ascii="方正仿宋_GBK" w:hAnsi="宋体" w:eastAsia="方正仿宋_GBK"/>
          <w:color w:val="auto"/>
          <w:sz w:val="24"/>
          <w:u w:val="single"/>
          <w:lang w:eastAsia="zh-CN"/>
        </w:rPr>
      </w:pPr>
      <w:r>
        <w:rPr>
          <w:rFonts w:hint="eastAsia" w:ascii="方正仿宋_GBK" w:hAnsi="宋体" w:eastAsia="方正仿宋_GBK"/>
          <w:color w:val="auto"/>
          <w:sz w:val="24"/>
        </w:rPr>
        <w:t>项目名称：</w:t>
      </w:r>
    </w:p>
    <w:p w14:paraId="0970492B">
      <w:pPr>
        <w:tabs>
          <w:tab w:val="left" w:pos="6300"/>
        </w:tabs>
        <w:snapToGrid w:val="0"/>
        <w:spacing w:line="500" w:lineRule="exact"/>
        <w:ind w:firstLine="570"/>
        <w:rPr>
          <w:rFonts w:ascii="方正仿宋_GBK" w:hAnsi="宋体" w:eastAsia="方正仿宋_GBK"/>
          <w:color w:val="auto"/>
          <w:sz w:val="24"/>
          <w:u w:val="single"/>
        </w:rPr>
      </w:pPr>
    </w:p>
    <w:p w14:paraId="7297350F">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致：（招标</w:t>
      </w:r>
      <w:r>
        <w:rPr>
          <w:rFonts w:hint="eastAsia" w:ascii="方正仿宋_GBK" w:hAnsi="宋体" w:eastAsia="方正仿宋_GBK"/>
          <w:color w:val="auto"/>
          <w:sz w:val="24"/>
          <w:lang w:val="en-US" w:eastAsia="zh-CN"/>
        </w:rPr>
        <w:t>人</w:t>
      </w:r>
      <w:r>
        <w:rPr>
          <w:rFonts w:hint="eastAsia" w:ascii="方正仿宋_GBK" w:hAnsi="宋体" w:eastAsia="方正仿宋_GBK"/>
          <w:color w:val="auto"/>
          <w:sz w:val="24"/>
        </w:rPr>
        <w:t>名称）：</w:t>
      </w:r>
    </w:p>
    <w:p w14:paraId="5C33906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（法定代表人姓名）在（投标人名称）任（职务名称）职务，是（投标人名称）的法定代表人。</w:t>
      </w:r>
    </w:p>
    <w:p w14:paraId="60BCC4CA">
      <w:pPr>
        <w:tabs>
          <w:tab w:val="left" w:pos="6300"/>
        </w:tabs>
        <w:snapToGrid w:val="0"/>
        <w:spacing w:line="500" w:lineRule="exact"/>
        <w:ind w:firstLine="570"/>
        <w:rPr>
          <w:rFonts w:ascii="方正仿宋_GBK" w:hAnsi="宋体" w:eastAsia="方正仿宋_GBK"/>
          <w:color w:val="auto"/>
          <w:sz w:val="24"/>
        </w:rPr>
      </w:pPr>
    </w:p>
    <w:p w14:paraId="6FB850F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0F1D115E">
      <w:pPr>
        <w:tabs>
          <w:tab w:val="left" w:pos="6300"/>
        </w:tabs>
        <w:snapToGrid w:val="0"/>
        <w:spacing w:line="500" w:lineRule="exact"/>
        <w:ind w:firstLine="570"/>
        <w:rPr>
          <w:rFonts w:ascii="方正仿宋_GBK" w:hAnsi="宋体" w:eastAsia="方正仿宋_GBK"/>
          <w:color w:val="auto"/>
          <w:sz w:val="24"/>
        </w:rPr>
      </w:pPr>
    </w:p>
    <w:p w14:paraId="5F012A0A">
      <w:pPr>
        <w:tabs>
          <w:tab w:val="left" w:pos="6300"/>
        </w:tabs>
        <w:snapToGrid w:val="0"/>
        <w:spacing w:line="500" w:lineRule="exact"/>
        <w:ind w:firstLine="570"/>
        <w:rPr>
          <w:rFonts w:ascii="方正仿宋_GBK" w:hAnsi="宋体" w:eastAsia="方正仿宋_GBK"/>
          <w:color w:val="auto"/>
          <w:sz w:val="24"/>
        </w:rPr>
      </w:pPr>
    </w:p>
    <w:p w14:paraId="643A218A">
      <w:pPr>
        <w:tabs>
          <w:tab w:val="left" w:pos="6300"/>
        </w:tabs>
        <w:snapToGrid w:val="0"/>
        <w:spacing w:line="500" w:lineRule="exact"/>
        <w:ind w:firstLine="570"/>
        <w:rPr>
          <w:rFonts w:ascii="方正仿宋_GBK" w:hAnsi="宋体" w:eastAsia="方正仿宋_GBK"/>
          <w:color w:val="auto"/>
          <w:sz w:val="24"/>
        </w:rPr>
      </w:pPr>
    </w:p>
    <w:p w14:paraId="6CFC378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（投标人公章）</w:t>
      </w:r>
    </w:p>
    <w:p w14:paraId="09416457">
      <w:pPr>
        <w:tabs>
          <w:tab w:val="left" w:pos="6300"/>
        </w:tabs>
        <w:snapToGrid w:val="0"/>
        <w:spacing w:line="500" w:lineRule="exact"/>
        <w:ind w:firstLine="570"/>
        <w:rPr>
          <w:rFonts w:ascii="方正仿宋_GBK" w:hAnsi="宋体" w:eastAsia="方正仿宋_GBK"/>
          <w:color w:val="auto"/>
          <w:sz w:val="24"/>
        </w:rPr>
      </w:pPr>
    </w:p>
    <w:p w14:paraId="6BA63C5F">
      <w:pPr>
        <w:tabs>
          <w:tab w:val="left" w:pos="6300"/>
        </w:tabs>
        <w:snapToGrid w:val="0"/>
        <w:spacing w:line="500" w:lineRule="exact"/>
        <w:ind w:firstLine="1130" w:firstLineChars="471"/>
        <w:rPr>
          <w:rFonts w:ascii="方正仿宋_GBK" w:hAnsi="宋体" w:eastAsia="方正仿宋_GBK"/>
          <w:color w:val="auto"/>
          <w:sz w:val="24"/>
        </w:rPr>
      </w:pPr>
      <w:r>
        <w:rPr>
          <w:rFonts w:hint="eastAsia" w:ascii="方正仿宋_GBK" w:hAnsi="宋体" w:eastAsia="方正仿宋_GBK"/>
          <w:color w:val="auto"/>
          <w:sz w:val="24"/>
        </w:rPr>
        <w:t>年</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月</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日</w:t>
      </w:r>
    </w:p>
    <w:p w14:paraId="62B50D9A">
      <w:pPr>
        <w:tabs>
          <w:tab w:val="left" w:pos="6300"/>
        </w:tabs>
        <w:snapToGrid w:val="0"/>
        <w:spacing w:line="500" w:lineRule="exact"/>
        <w:ind w:firstLine="570"/>
        <w:rPr>
          <w:rFonts w:ascii="方正仿宋_GBK" w:hAnsi="宋体" w:eastAsia="方正仿宋_GBK"/>
          <w:color w:val="auto"/>
          <w:sz w:val="24"/>
        </w:rPr>
      </w:pPr>
    </w:p>
    <w:p w14:paraId="0A8A7D90">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（附：法定代表人身份证正反面复印件）</w:t>
      </w:r>
    </w:p>
    <w:p w14:paraId="2E889AF4">
      <w:pPr>
        <w:tabs>
          <w:tab w:val="left" w:pos="6300"/>
        </w:tabs>
        <w:snapToGrid w:val="0"/>
        <w:spacing w:line="500" w:lineRule="exact"/>
        <w:ind w:firstLine="570"/>
        <w:rPr>
          <w:rFonts w:ascii="方正仿宋_GBK" w:hAnsi="宋体" w:eastAsia="方正仿宋_GBK"/>
          <w:color w:val="auto"/>
          <w:sz w:val="24"/>
        </w:rPr>
      </w:pPr>
    </w:p>
    <w:p w14:paraId="7BFED667">
      <w:pPr>
        <w:tabs>
          <w:tab w:val="left" w:pos="6300"/>
        </w:tabs>
        <w:snapToGrid w:val="0"/>
        <w:spacing w:line="500" w:lineRule="exact"/>
        <w:ind w:firstLine="570"/>
        <w:rPr>
          <w:rFonts w:ascii="方正仿宋_GBK" w:hAnsi="宋体" w:eastAsia="方正仿宋_GBK"/>
          <w:color w:val="auto"/>
          <w:sz w:val="24"/>
        </w:rPr>
      </w:pPr>
    </w:p>
    <w:p w14:paraId="5E7F1BAD">
      <w:pPr>
        <w:tabs>
          <w:tab w:val="left" w:pos="6300"/>
        </w:tabs>
        <w:snapToGrid w:val="0"/>
        <w:spacing w:line="500" w:lineRule="exact"/>
        <w:ind w:firstLine="570"/>
        <w:rPr>
          <w:rFonts w:ascii="方正仿宋_GBK" w:hAnsi="宋体" w:eastAsia="方正仿宋_GBK"/>
          <w:color w:val="auto"/>
          <w:sz w:val="24"/>
        </w:rPr>
      </w:pPr>
    </w:p>
    <w:p w14:paraId="73196636">
      <w:pPr>
        <w:tabs>
          <w:tab w:val="left" w:pos="6300"/>
        </w:tabs>
        <w:snapToGrid w:val="0"/>
        <w:spacing w:line="500" w:lineRule="exact"/>
        <w:ind w:firstLine="570"/>
        <w:rPr>
          <w:rFonts w:ascii="方正仿宋_GBK" w:hAnsi="宋体" w:eastAsia="方正仿宋_GBK"/>
          <w:color w:val="auto"/>
          <w:sz w:val="24"/>
        </w:rPr>
      </w:pPr>
    </w:p>
    <w:p w14:paraId="153317BD">
      <w:pPr>
        <w:tabs>
          <w:tab w:val="left" w:pos="6300"/>
        </w:tabs>
        <w:snapToGrid w:val="0"/>
        <w:spacing w:line="500" w:lineRule="exact"/>
        <w:rPr>
          <w:rFonts w:ascii="方正仿宋_GBK" w:hAnsi="宋体" w:eastAsia="方正仿宋_GBK"/>
          <w:color w:val="auto"/>
          <w:sz w:val="24"/>
        </w:rPr>
      </w:pPr>
    </w:p>
    <w:p w14:paraId="7C52329F">
      <w:pPr>
        <w:tabs>
          <w:tab w:val="left" w:pos="6300"/>
        </w:tabs>
        <w:snapToGrid w:val="0"/>
        <w:spacing w:line="500" w:lineRule="exact"/>
        <w:ind w:firstLine="570"/>
        <w:jc w:val="center"/>
        <w:rPr>
          <w:rFonts w:ascii="方正仿宋_GBK" w:hAnsi="宋体" w:eastAsia="方正仿宋_GBK"/>
          <w:color w:val="auto"/>
          <w:sz w:val="24"/>
        </w:rPr>
      </w:pPr>
      <w:r>
        <w:rPr>
          <w:color w:val="auto"/>
          <w:sz w:val="24"/>
        </w:rPr>
        <w:br w:type="column"/>
      </w:r>
      <w:r>
        <w:rPr>
          <w:rFonts w:hint="eastAsia" w:ascii="方正仿宋_GBK" w:hAnsi="宋体" w:eastAsia="方正仿宋_GBK"/>
          <w:color w:val="auto"/>
          <w:sz w:val="24"/>
        </w:rPr>
        <w:t>法定代表人授权委托书</w:t>
      </w:r>
    </w:p>
    <w:p w14:paraId="1CA943B4">
      <w:pPr>
        <w:tabs>
          <w:tab w:val="left" w:pos="6300"/>
        </w:tabs>
        <w:snapToGrid w:val="0"/>
        <w:spacing w:line="500" w:lineRule="exact"/>
        <w:ind w:firstLine="570"/>
        <w:rPr>
          <w:rFonts w:hint="eastAsia" w:ascii="方正仿宋_GBK" w:hAnsi="宋体" w:eastAsia="方正仿宋_GBK"/>
          <w:color w:val="auto"/>
          <w:sz w:val="24"/>
          <w:lang w:eastAsia="zh-CN"/>
        </w:rPr>
      </w:pPr>
    </w:p>
    <w:p w14:paraId="738AC371">
      <w:pPr>
        <w:tabs>
          <w:tab w:val="left" w:pos="6300"/>
        </w:tabs>
        <w:snapToGrid w:val="0"/>
        <w:spacing w:line="5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rPr>
        <w:t>项目名称：</w:t>
      </w:r>
    </w:p>
    <w:p w14:paraId="3BFD5A62">
      <w:pPr>
        <w:tabs>
          <w:tab w:val="left" w:pos="6300"/>
        </w:tabs>
        <w:snapToGrid w:val="0"/>
        <w:spacing w:line="500" w:lineRule="exact"/>
        <w:ind w:firstLine="570"/>
        <w:rPr>
          <w:rFonts w:ascii="方正仿宋_GBK" w:hAnsi="宋体" w:eastAsia="方正仿宋_GBK"/>
          <w:color w:val="auto"/>
          <w:sz w:val="24"/>
        </w:rPr>
      </w:pPr>
    </w:p>
    <w:p w14:paraId="5A0AEDE2">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致：（招标人名称）：</w:t>
      </w:r>
    </w:p>
    <w:p w14:paraId="31F2A70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（投标人法定代表人名称）是（投标人名称）的法定代表人，特授权（被授权人姓名及身份证代码）代表我单位全权办理上述项目的</w:t>
      </w:r>
      <w:r>
        <w:rPr>
          <w:rFonts w:hint="eastAsia" w:ascii="方正仿宋_GBK" w:hAnsi="宋体" w:eastAsia="方正仿宋_GBK"/>
          <w:color w:val="auto"/>
          <w:sz w:val="24"/>
          <w:lang w:val="en-US" w:eastAsia="zh-CN"/>
        </w:rPr>
        <w:t>谈判</w:t>
      </w:r>
      <w:r>
        <w:rPr>
          <w:rFonts w:hint="eastAsia" w:ascii="方正仿宋_GBK" w:hAnsi="宋体" w:eastAsia="方正仿宋_GBK"/>
          <w:color w:val="auto"/>
          <w:sz w:val="24"/>
        </w:rPr>
        <w:t>、签约等具体工作，并签署全部有关文件、协议及合同。</w:t>
      </w:r>
    </w:p>
    <w:p w14:paraId="2C1634F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我单位对被授权人的签字负全部责任。</w:t>
      </w:r>
    </w:p>
    <w:p w14:paraId="72F9384B">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在撤消授权的书面通知以前，本授权书一直有效。被授权人在授权书有效期内签署的所有文件不因授权的撤消而失效。</w:t>
      </w:r>
    </w:p>
    <w:p w14:paraId="1E23C890">
      <w:pPr>
        <w:tabs>
          <w:tab w:val="left" w:pos="6300"/>
        </w:tabs>
        <w:snapToGrid w:val="0"/>
        <w:spacing w:line="500" w:lineRule="exact"/>
        <w:ind w:firstLine="570"/>
        <w:rPr>
          <w:rFonts w:ascii="方正仿宋_GBK" w:hAnsi="宋体" w:eastAsia="方正仿宋_GBK"/>
          <w:color w:val="auto"/>
          <w:sz w:val="24"/>
        </w:rPr>
      </w:pPr>
    </w:p>
    <w:p w14:paraId="3A45CC62">
      <w:pPr>
        <w:tabs>
          <w:tab w:val="left" w:pos="6300"/>
        </w:tabs>
        <w:snapToGrid w:val="0"/>
        <w:spacing w:line="500" w:lineRule="exact"/>
        <w:ind w:firstLine="570"/>
        <w:rPr>
          <w:rFonts w:ascii="方正仿宋_GBK" w:hAnsi="宋体" w:eastAsia="方正仿宋_GBK"/>
          <w:color w:val="auto"/>
          <w:sz w:val="24"/>
        </w:rPr>
      </w:pPr>
    </w:p>
    <w:p w14:paraId="6261666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投标人法定代表人：</w:t>
      </w:r>
    </w:p>
    <w:p w14:paraId="2A3E916D">
      <w:pPr>
        <w:ind w:firstLine="240" w:firstLineChars="100"/>
        <w:rPr>
          <w:rFonts w:ascii="方正仿宋_GBK" w:hAnsi="宋体" w:eastAsia="方正仿宋_GBK"/>
          <w:color w:val="auto"/>
          <w:sz w:val="24"/>
        </w:rPr>
      </w:pPr>
      <w:r>
        <w:rPr>
          <w:rFonts w:hint="eastAsia" w:ascii="方正仿宋_GBK" w:hAnsi="宋体" w:eastAsia="方正仿宋_GBK"/>
          <w:color w:val="auto"/>
          <w:sz w:val="24"/>
        </w:rPr>
        <w:t>（签字或盖章）</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（签字或盖章）</w:t>
      </w:r>
    </w:p>
    <w:p w14:paraId="402D8576">
      <w:pPr>
        <w:rPr>
          <w:rFonts w:ascii="方正仿宋_GBK" w:hAnsi="宋体" w:eastAsia="方正仿宋_GBK"/>
          <w:color w:val="auto"/>
          <w:sz w:val="24"/>
        </w:rPr>
      </w:pPr>
      <w:r>
        <w:rPr>
          <w:rFonts w:hint="eastAsia" w:ascii="方正仿宋_GBK" w:hAnsi="宋体" w:eastAsia="方正仿宋_GBK"/>
          <w:color w:val="auto"/>
          <w:sz w:val="24"/>
        </w:rPr>
        <w:t>附被</w:t>
      </w:r>
      <w:r>
        <w:rPr>
          <w:rFonts w:ascii="方正仿宋_GBK" w:hAnsi="宋体" w:eastAsia="方正仿宋_GBK"/>
          <w:color w:val="auto"/>
          <w:sz w:val="24"/>
        </w:rPr>
        <w:t>授权人身份证复印件</w:t>
      </w:r>
    </w:p>
    <w:p w14:paraId="7A2833DA">
      <w:pPr>
        <w:rPr>
          <w:rFonts w:ascii="方正仿宋_GBK" w:hAnsi="宋体" w:eastAsia="方正仿宋_GBK"/>
          <w:color w:val="auto"/>
          <w:sz w:val="24"/>
        </w:rPr>
      </w:pPr>
    </w:p>
    <w:p w14:paraId="37B12223">
      <w:pPr>
        <w:pStyle w:val="11"/>
        <w:rPr>
          <w:rFonts w:ascii="方正仿宋_GBK" w:hAnsi="宋体" w:eastAsia="方正仿宋_GBK"/>
          <w:color w:val="auto"/>
          <w:sz w:val="24"/>
        </w:rPr>
      </w:pPr>
    </w:p>
    <w:p w14:paraId="67330275">
      <w:pPr>
        <w:pStyle w:val="11"/>
        <w:rPr>
          <w:rFonts w:ascii="方正仿宋_GBK" w:hAnsi="宋体" w:eastAsia="方正仿宋_GBK"/>
          <w:color w:val="auto"/>
          <w:sz w:val="24"/>
        </w:rPr>
      </w:pPr>
    </w:p>
    <w:p w14:paraId="23F3671E">
      <w:pPr>
        <w:pStyle w:val="11"/>
        <w:rPr>
          <w:rFonts w:ascii="方正仿宋_GBK" w:hAnsi="宋体" w:eastAsia="方正仿宋_GBK"/>
          <w:color w:val="auto"/>
          <w:sz w:val="24"/>
        </w:rPr>
      </w:pPr>
    </w:p>
    <w:p w14:paraId="6DD80180">
      <w:pPr>
        <w:pStyle w:val="11"/>
        <w:rPr>
          <w:rFonts w:ascii="方正仿宋_GBK" w:hAnsi="宋体" w:eastAsia="方正仿宋_GBK"/>
          <w:color w:val="auto"/>
          <w:sz w:val="24"/>
        </w:rPr>
      </w:pPr>
    </w:p>
    <w:p w14:paraId="67208190">
      <w:pPr>
        <w:pStyle w:val="11"/>
        <w:rPr>
          <w:rFonts w:ascii="方正仿宋_GBK" w:hAnsi="宋体" w:eastAsia="方正仿宋_GBK"/>
          <w:color w:val="auto"/>
          <w:sz w:val="24"/>
        </w:rPr>
      </w:pPr>
    </w:p>
    <w:p w14:paraId="52E7085F">
      <w:pPr>
        <w:pStyle w:val="11"/>
        <w:rPr>
          <w:rFonts w:ascii="方正仿宋_GBK" w:hAnsi="宋体" w:eastAsia="方正仿宋_GBK"/>
          <w:color w:val="auto"/>
          <w:sz w:val="24"/>
        </w:rPr>
      </w:pPr>
    </w:p>
    <w:p w14:paraId="515524B9">
      <w:pPr>
        <w:rPr>
          <w:rFonts w:hint="eastAsia" w:ascii="宋体" w:hAnsi="宋体"/>
          <w:b/>
          <w:color w:val="auto"/>
          <w:sz w:val="28"/>
          <w:szCs w:val="28"/>
          <w:lang w:val="en-US" w:eastAsia="zh-CN"/>
        </w:rPr>
      </w:pPr>
    </w:p>
    <w:p w14:paraId="678C9335">
      <w:pPr>
        <w:rPr>
          <w:rFonts w:hint="eastAsia" w:ascii="宋体" w:hAnsi="宋体"/>
          <w:b/>
          <w:color w:val="auto"/>
          <w:sz w:val="28"/>
          <w:szCs w:val="28"/>
          <w:lang w:val="en-US" w:eastAsia="zh-CN"/>
        </w:rPr>
      </w:pPr>
      <w:r>
        <w:rPr>
          <w:rFonts w:hint="eastAsia" w:ascii="宋体" w:hAnsi="宋体"/>
          <w:b/>
          <w:color w:val="auto"/>
          <w:sz w:val="28"/>
          <w:szCs w:val="28"/>
          <w:lang w:val="en-US" w:eastAsia="zh-CN"/>
        </w:rPr>
        <w:t>附件3：</w:t>
      </w:r>
    </w:p>
    <w:p w14:paraId="3E3EFF15">
      <w:pPr>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承诺书</w:t>
      </w:r>
    </w:p>
    <w:p w14:paraId="0C7BD4E3">
      <w:pPr>
        <w:tabs>
          <w:tab w:val="left" w:pos="2640"/>
        </w:tabs>
        <w:autoSpaceDE w:val="0"/>
        <w:autoSpaceDN w:val="0"/>
        <w:adjustRightInd w:val="0"/>
        <w:spacing w:line="220" w:lineRule="exact"/>
        <w:ind w:left="120" w:right="-20"/>
        <w:rPr>
          <w:rFonts w:ascii="宋体" w:hAnsi="宋体"/>
          <w:snapToGrid w:val="0"/>
          <w:color w:val="auto"/>
          <w:szCs w:val="21"/>
          <w:u w:val="single"/>
        </w:rPr>
      </w:pPr>
    </w:p>
    <w:p w14:paraId="0CBB1518">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hint="eastAsia" w:ascii="宋体" w:hAnsi="宋体" w:cs="MingLiU"/>
          <w:snapToGrid w:val="0"/>
          <w:color w:val="auto"/>
          <w:szCs w:val="21"/>
        </w:rPr>
      </w:pPr>
    </w:p>
    <w:p w14:paraId="2E880962">
      <w:pPr>
        <w:tabs>
          <w:tab w:val="left" w:pos="2655"/>
          <w:tab w:val="left" w:pos="2760"/>
          <w:tab w:val="left" w:pos="4500"/>
          <w:tab w:val="left" w:pos="5715"/>
          <w:tab w:val="left" w:pos="6945"/>
          <w:tab w:val="left" w:pos="8505"/>
        </w:tabs>
        <w:autoSpaceDE w:val="0"/>
        <w:autoSpaceDN w:val="0"/>
        <w:adjustRightInd w:val="0"/>
        <w:spacing w:line="480" w:lineRule="auto"/>
        <w:ind w:right="94"/>
        <w:jc w:val="left"/>
        <w:rPr>
          <w:rFonts w:hint="eastAsia" w:ascii="宋体" w:hAnsi="宋体" w:cs="MingLiU"/>
          <w:snapToGrid w:val="0"/>
          <w:color w:val="auto"/>
          <w:szCs w:val="21"/>
        </w:rPr>
      </w:pPr>
      <w:r>
        <w:rPr>
          <w:rFonts w:hint="eastAsia" w:ascii="宋体" w:hAnsi="宋体" w:cs="MingLiU"/>
          <w:snapToGrid w:val="0"/>
          <w:color w:val="auto"/>
          <w:szCs w:val="21"/>
          <w:u w:val="single"/>
        </w:rPr>
        <w:tab/>
      </w:r>
      <w:r>
        <w:rPr>
          <w:rFonts w:hint="eastAsia" w:ascii="宋体" w:hAnsi="宋体" w:cs="MingLiU"/>
          <w:snapToGrid w:val="0"/>
          <w:color w:val="auto"/>
          <w:szCs w:val="21"/>
        </w:rPr>
        <w:t>（招标人名称）：</w:t>
      </w:r>
    </w:p>
    <w:p w14:paraId="5E429080">
      <w:pPr>
        <w:spacing w:line="480" w:lineRule="auto"/>
        <w:jc w:val="left"/>
        <w:rPr>
          <w:rFonts w:hint="default" w:ascii="宋体" w:hAnsi="宋体" w:cs="MingLiU"/>
          <w:snapToGrid w:val="0"/>
          <w:color w:val="auto"/>
          <w:szCs w:val="21"/>
          <w:lang w:val="en-US" w:eastAsia="zh-CN"/>
        </w:rPr>
      </w:pPr>
      <w:r>
        <w:rPr>
          <w:rFonts w:hint="eastAsia" w:ascii="宋体" w:hAnsi="宋体" w:cs="MingLiU"/>
          <w:snapToGrid w:val="0"/>
          <w:color w:val="auto"/>
          <w:szCs w:val="21"/>
          <w:lang w:val="en-US" w:eastAsia="zh-CN"/>
        </w:rPr>
        <w:t xml:space="preserve">     我单位</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 xml:space="preserve">（投标人全称）在充分理解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（项目名称）竞争性谈判文件要求的基础上，郑重作出如下承诺，并愿意承担相应的法律责任：</w:t>
      </w:r>
    </w:p>
    <w:p w14:paraId="3ACFA461">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一</w:t>
      </w:r>
      <w:r>
        <w:rPr>
          <w:rFonts w:hint="eastAsia" w:ascii="宋体" w:hAnsi="宋体" w:cs="MingLiU"/>
          <w:snapToGrid w:val="0"/>
          <w:color w:val="auto"/>
          <w:szCs w:val="21"/>
        </w:rPr>
        <w:t>）具有良好的商业信誉和健全的财务会计制度；</w:t>
      </w:r>
    </w:p>
    <w:p w14:paraId="5BDE79B0">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二</w:t>
      </w:r>
      <w:r>
        <w:rPr>
          <w:rFonts w:hint="eastAsia" w:ascii="宋体" w:hAnsi="宋体" w:cs="MingLiU"/>
          <w:snapToGrid w:val="0"/>
          <w:color w:val="auto"/>
          <w:szCs w:val="21"/>
        </w:rPr>
        <w:t>）具有履行合同所必需的设备和专业技术能力；</w:t>
      </w:r>
    </w:p>
    <w:p w14:paraId="3C34E2EE">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三</w:t>
      </w:r>
      <w:r>
        <w:rPr>
          <w:rFonts w:hint="eastAsia" w:ascii="宋体" w:hAnsi="宋体" w:cs="MingLiU"/>
          <w:snapToGrid w:val="0"/>
          <w:color w:val="auto"/>
          <w:szCs w:val="21"/>
        </w:rPr>
        <w:t>）有依法缴纳税收和社会保障金的良好记录；</w:t>
      </w:r>
    </w:p>
    <w:p w14:paraId="0E9AB685">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四</w:t>
      </w:r>
      <w:r>
        <w:rPr>
          <w:rFonts w:hint="eastAsia" w:ascii="宋体" w:hAnsi="宋体" w:cs="MingLiU"/>
          <w:snapToGrid w:val="0"/>
          <w:color w:val="auto"/>
          <w:szCs w:val="21"/>
        </w:rPr>
        <w:t>）参加采购活动前三年内，在经营活动中没有重大违法记录；</w:t>
      </w:r>
    </w:p>
    <w:p w14:paraId="770A0DC4">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五</w:t>
      </w:r>
      <w:r>
        <w:rPr>
          <w:rFonts w:hint="eastAsia" w:ascii="宋体" w:hAnsi="宋体" w:cs="MingLiU"/>
          <w:snapToGrid w:val="0"/>
          <w:color w:val="auto"/>
          <w:szCs w:val="21"/>
        </w:rPr>
        <w:t>）本次</w:t>
      </w:r>
      <w:r>
        <w:rPr>
          <w:rFonts w:hint="eastAsia" w:ascii="宋体" w:hAnsi="宋体" w:cs="MingLiU"/>
          <w:snapToGrid w:val="0"/>
          <w:color w:val="auto"/>
          <w:szCs w:val="21"/>
          <w:lang w:val="en-US" w:eastAsia="zh-CN"/>
        </w:rPr>
        <w:t>投</w:t>
      </w:r>
      <w:r>
        <w:rPr>
          <w:rFonts w:hint="eastAsia" w:ascii="宋体" w:hAnsi="宋体" w:cs="MingLiU"/>
          <w:snapToGrid w:val="0"/>
          <w:color w:val="auto"/>
          <w:szCs w:val="21"/>
        </w:rPr>
        <w:t>标不</w:t>
      </w:r>
      <w:r>
        <w:rPr>
          <w:rFonts w:hint="eastAsia" w:ascii="宋体" w:hAnsi="宋体" w:cs="MingLiU"/>
          <w:snapToGrid w:val="0"/>
          <w:color w:val="auto"/>
          <w:szCs w:val="21"/>
          <w:lang w:val="en-US" w:eastAsia="zh-CN"/>
        </w:rPr>
        <w:t>采用</w:t>
      </w:r>
      <w:r>
        <w:rPr>
          <w:rFonts w:hint="eastAsia" w:ascii="宋体" w:hAnsi="宋体" w:cs="MingLiU"/>
          <w:snapToGrid w:val="0"/>
          <w:color w:val="auto"/>
          <w:szCs w:val="21"/>
        </w:rPr>
        <w:t>联合体投标，中选后不分包、转包。</w:t>
      </w:r>
    </w:p>
    <w:p w14:paraId="2FE08E72">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p>
    <w:p w14:paraId="4C67BA9E">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69614FB2">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69CA1D9A">
      <w:pPr>
        <w:tabs>
          <w:tab w:val="left" w:pos="7140"/>
          <w:tab w:val="left" w:pos="7560"/>
          <w:tab w:val="left" w:pos="8300"/>
        </w:tabs>
        <w:autoSpaceDE w:val="0"/>
        <w:autoSpaceDN w:val="0"/>
        <w:adjustRightInd w:val="0"/>
        <w:ind w:right="210" w:firstLine="4515" w:firstLineChars="2150"/>
        <w:rPr>
          <w:rFonts w:hint="eastAsia" w:ascii="宋体" w:hAnsi="宋体" w:cs="MingLiU"/>
          <w:snapToGrid w:val="0"/>
          <w:color w:val="auto"/>
          <w:szCs w:val="21"/>
        </w:rPr>
      </w:pPr>
    </w:p>
    <w:p w14:paraId="56A0B60C">
      <w:pPr>
        <w:tabs>
          <w:tab w:val="left" w:pos="7140"/>
          <w:tab w:val="left" w:pos="7560"/>
          <w:tab w:val="left" w:pos="8300"/>
        </w:tabs>
        <w:autoSpaceDE w:val="0"/>
        <w:autoSpaceDN w:val="0"/>
        <w:adjustRightInd w:val="0"/>
        <w:ind w:right="210" w:firstLine="4515" w:firstLineChars="21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061CE391">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036078CF">
      <w:pPr>
        <w:autoSpaceDE w:val="0"/>
        <w:autoSpaceDN w:val="0"/>
        <w:adjustRightInd w:val="0"/>
        <w:spacing w:before="14" w:line="240" w:lineRule="exact"/>
        <w:rPr>
          <w:rFonts w:ascii="宋体" w:hAnsi="宋体" w:cs="MingLiU"/>
          <w:snapToGrid w:val="0"/>
          <w:color w:val="auto"/>
          <w:sz w:val="24"/>
        </w:rPr>
      </w:pPr>
    </w:p>
    <w:p w14:paraId="2C4A0820">
      <w:pPr>
        <w:tabs>
          <w:tab w:val="left" w:pos="6000"/>
          <w:tab w:val="left" w:pos="7040"/>
          <w:tab w:val="left" w:pos="8100"/>
        </w:tabs>
        <w:autoSpaceDE w:val="0"/>
        <w:autoSpaceDN w:val="0"/>
        <w:adjustRightInd w:val="0"/>
        <w:ind w:right="-20" w:firstLine="5974" w:firstLineChars="28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34CA7BE7">
      <w:pPr>
        <w:rPr>
          <w:rFonts w:hint="eastAsia" w:ascii="宋体" w:hAnsi="宋体"/>
          <w:b/>
          <w:color w:val="auto"/>
          <w:sz w:val="28"/>
          <w:szCs w:val="28"/>
          <w:lang w:val="en-US" w:eastAsia="zh-CN"/>
        </w:rPr>
      </w:pPr>
    </w:p>
    <w:p w14:paraId="104759DD">
      <w:pPr>
        <w:rPr>
          <w:rFonts w:hint="eastAsia" w:ascii="宋体" w:hAnsi="宋体"/>
          <w:b/>
          <w:color w:val="auto"/>
          <w:sz w:val="28"/>
          <w:szCs w:val="28"/>
          <w:lang w:val="en-US" w:eastAsia="zh-CN"/>
        </w:rPr>
      </w:pPr>
    </w:p>
    <w:p w14:paraId="17C687C5">
      <w:pPr>
        <w:rPr>
          <w:rFonts w:hint="eastAsia" w:ascii="宋体" w:hAnsi="宋体"/>
          <w:b/>
          <w:color w:val="auto"/>
          <w:sz w:val="28"/>
          <w:szCs w:val="28"/>
          <w:lang w:val="en-US" w:eastAsia="zh-CN"/>
        </w:rPr>
      </w:pPr>
    </w:p>
    <w:p w14:paraId="05575C60">
      <w:pPr>
        <w:rPr>
          <w:rFonts w:hint="eastAsia" w:ascii="宋体" w:hAnsi="宋体"/>
          <w:b/>
          <w:color w:val="auto"/>
          <w:sz w:val="28"/>
          <w:szCs w:val="28"/>
          <w:lang w:val="en-US" w:eastAsia="zh-CN"/>
        </w:rPr>
      </w:pPr>
    </w:p>
    <w:p w14:paraId="74B871E1">
      <w:pPr>
        <w:rPr>
          <w:rFonts w:hint="eastAsia" w:ascii="宋体" w:hAnsi="宋体"/>
          <w:b/>
          <w:color w:val="auto"/>
          <w:sz w:val="28"/>
          <w:szCs w:val="28"/>
          <w:lang w:val="en-US" w:eastAsia="zh-CN"/>
        </w:rPr>
      </w:pPr>
    </w:p>
    <w:p w14:paraId="373960F7">
      <w:pPr>
        <w:rPr>
          <w:rFonts w:hint="eastAsia" w:ascii="宋体" w:hAnsi="宋体"/>
          <w:b/>
          <w:color w:val="auto"/>
          <w:sz w:val="28"/>
          <w:szCs w:val="28"/>
          <w:lang w:val="en-US" w:eastAsia="zh-CN"/>
        </w:rPr>
      </w:pPr>
    </w:p>
    <w:p w14:paraId="3674F2D2">
      <w:pPr>
        <w:rPr>
          <w:rFonts w:hint="eastAsia" w:ascii="宋体" w:hAnsi="宋体"/>
          <w:b/>
          <w:color w:val="auto"/>
          <w:sz w:val="28"/>
          <w:szCs w:val="28"/>
          <w:lang w:val="en-US" w:eastAsia="zh-CN"/>
        </w:rPr>
      </w:pPr>
    </w:p>
    <w:p w14:paraId="40D4AE3B">
      <w:pPr>
        <w:rPr>
          <w:rFonts w:hint="default" w:ascii="宋体" w:hAnsi="宋体"/>
          <w:b/>
          <w:color w:val="auto"/>
          <w:sz w:val="28"/>
          <w:szCs w:val="28"/>
          <w:lang w:val="en-US" w:eastAsia="zh-CN"/>
        </w:rPr>
      </w:pPr>
      <w:r>
        <w:rPr>
          <w:rFonts w:hint="eastAsia" w:ascii="宋体" w:hAnsi="宋体"/>
          <w:b/>
          <w:color w:val="auto"/>
          <w:sz w:val="28"/>
          <w:szCs w:val="28"/>
          <w:lang w:val="en-US" w:eastAsia="zh-CN"/>
        </w:rPr>
        <w:t>附件4：</w:t>
      </w:r>
    </w:p>
    <w:p w14:paraId="073D8529">
      <w:pPr>
        <w:jc w:val="center"/>
        <w:rPr>
          <w:rFonts w:hint="eastAsia" w:ascii="方正仿宋_GBK" w:hAnsi="宋体" w:eastAsia="方正仿宋_GBK"/>
          <w:b/>
          <w:bCs/>
          <w:color w:val="auto"/>
          <w:sz w:val="24"/>
        </w:rPr>
      </w:pPr>
      <w:r>
        <w:rPr>
          <w:rFonts w:hint="eastAsia" w:ascii="方正仿宋_GBK" w:hAnsi="宋体" w:eastAsia="方正仿宋_GBK"/>
          <w:b/>
          <w:bCs/>
          <w:color w:val="auto"/>
          <w:sz w:val="24"/>
          <w:lang w:val="en-US" w:eastAsia="zh-CN"/>
        </w:rPr>
        <w:t>人工智能赋能城市治理综合场景高性能计算服务器购置清单</w:t>
      </w:r>
    </w:p>
    <w:tbl>
      <w:tblPr>
        <w:tblStyle w:val="13"/>
        <w:tblW w:w="920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884"/>
        <w:gridCol w:w="3600"/>
        <w:gridCol w:w="2306"/>
        <w:gridCol w:w="757"/>
        <w:gridCol w:w="1153"/>
      </w:tblGrid>
      <w:tr w14:paraId="7B5F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5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7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color w:val="000000"/>
                <w:kern w:val="0"/>
                <w:sz w:val="24"/>
                <w:szCs w:val="24"/>
                <w:u w:val="none"/>
                <w:lang w:val="en-US" w:eastAsia="zh-CN" w:bidi="ar"/>
              </w:rPr>
              <w:t>设备名称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D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color w:val="000000"/>
                <w:kern w:val="0"/>
                <w:sz w:val="24"/>
                <w:szCs w:val="24"/>
                <w:u w:val="none"/>
                <w:lang w:val="en-US" w:eastAsia="zh-CN" w:bidi="ar"/>
              </w:rPr>
              <w:t>技术参数</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A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用途</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1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D8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投标报价（元）</w:t>
            </w:r>
          </w:p>
        </w:tc>
      </w:tr>
      <w:tr w14:paraId="7A79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A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9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高性能计算服务器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63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1、CPU：≥1颗 Intel处理器，单颗≥24核， 主频≥2.0GHz</w:t>
            </w:r>
          </w:p>
          <w:p w14:paraId="7FED40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2、GPU：≥4张GPU显卡，单卡显存≥24GB，显存带宽≥1000GB/s，FP16算力值≥165TFLOPS</w:t>
            </w:r>
          </w:p>
          <w:p w14:paraId="651559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3、内存： ≥8*64GB DDR4或16*32GB DDR4</w:t>
            </w:r>
          </w:p>
          <w:p w14:paraId="34BECB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4、系统盘：≥1块960GB 企业级SSD</w:t>
            </w:r>
          </w:p>
          <w:p w14:paraId="694AE1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5、数据盘：≥2块3.84TB 企业级SSD</w:t>
            </w:r>
          </w:p>
          <w:p w14:paraId="6EE5C8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6、网卡：1块10GbE RJ45网卡</w:t>
            </w:r>
          </w:p>
          <w:p w14:paraId="20D4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7、电源：2000W（1+1冗余）16A国标电源线*2</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5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1、单台AI计算服务器总共可提供超过660TFLops的FP16精度的强大AI算力。</w:t>
            </w:r>
          </w:p>
          <w:p w14:paraId="78414C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2、单台AI服务器可部署约70亿参数量的人工智能大模型，满足智慧城市运行中的超大数据量处理需求。</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6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F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u w:val="none"/>
                <w:lang w:val="en-US"/>
              </w:rPr>
            </w:pPr>
          </w:p>
        </w:tc>
      </w:tr>
      <w:tr w14:paraId="2998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DC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E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3060">
            <w:pPr>
              <w:numPr>
                <w:ilvl w:val="0"/>
                <w:numId w:val="0"/>
              </w:numPr>
              <w:spacing w:line="360" w:lineRule="auto"/>
              <w:ind w:leftChars="0"/>
              <w:rPr>
                <w:rFonts w:hint="eastAsia" w:ascii="方正仿宋_GBK" w:hAnsi="方正仿宋_GBK" w:eastAsia="方正仿宋_GBK" w:cs="方正仿宋_GBK"/>
                <w:color w:val="auto"/>
                <w:sz w:val="24"/>
                <w:szCs w:val="24"/>
                <w:highlight w:val="none"/>
                <w:lang w:eastAsia="zh-Hans"/>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5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6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4E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u w:val="none"/>
                <w:lang w:val="en-US"/>
              </w:rPr>
            </w:pPr>
          </w:p>
        </w:tc>
      </w:tr>
    </w:tbl>
    <w:p w14:paraId="42DBC6B5">
      <w:pPr>
        <w:spacing w:line="600" w:lineRule="exact"/>
        <w:jc w:val="both"/>
        <w:rPr>
          <w:rFonts w:ascii="方正小标宋_GBK" w:eastAsia="方正小标宋_GBK"/>
          <w:snapToGrid w:val="0"/>
          <w:color w:val="auto"/>
          <w:w w:val="99"/>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E5CE4322-43CD-4074-8DCF-3BCF78EFAD57}"/>
  </w:font>
  <w:font w:name="方正仿宋_GB18030">
    <w:altName w:val="仿宋"/>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1D02432E-F483-449D-BA01-D05C114DA6A0}"/>
  </w:font>
  <w:font w:name="方正黑体_GBK">
    <w:panose1 w:val="03000509000000000000"/>
    <w:charset w:val="86"/>
    <w:family w:val="script"/>
    <w:pitch w:val="default"/>
    <w:sig w:usb0="00000001" w:usb1="080E0000" w:usb2="00000000" w:usb3="00000000" w:csb0="00040000" w:csb1="00000000"/>
    <w:embedRegular r:id="rId3" w:fontKey="{0BA35299-7F22-4C49-A605-4EE024571EAF}"/>
  </w:font>
  <w:font w:name="MingLiU">
    <w:altName w:val="PMingLiU-ExtB"/>
    <w:panose1 w:val="02020509000000000000"/>
    <w:charset w:val="88"/>
    <w:family w:val="modern"/>
    <w:pitch w:val="default"/>
    <w:sig w:usb0="00000000" w:usb1="00000000" w:usb2="00000016" w:usb3="00000000" w:csb0="00100001" w:csb1="00000000"/>
    <w:embedRegular r:id="rId4" w:fontKey="{7BBC5168-DC6C-4E80-9AC2-6912AAF34FBA}"/>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MTI2MWZiOTJjNjA1NGE5MzI0OTdlZDAwY2RmM2YifQ=="/>
    <w:docVar w:name="KSO_WPS_MARK_KEY" w:val="25e30516-0113-45d2-8cb9-35bed4041f3c"/>
  </w:docVars>
  <w:rsids>
    <w:rsidRoot w:val="00FC3AE0"/>
    <w:rsid w:val="00004370"/>
    <w:rsid w:val="00020174"/>
    <w:rsid w:val="000305A0"/>
    <w:rsid w:val="00032C6B"/>
    <w:rsid w:val="000406E1"/>
    <w:rsid w:val="000421A4"/>
    <w:rsid w:val="000518F8"/>
    <w:rsid w:val="00061C4E"/>
    <w:rsid w:val="00081468"/>
    <w:rsid w:val="00081658"/>
    <w:rsid w:val="00081E6C"/>
    <w:rsid w:val="000938C1"/>
    <w:rsid w:val="00096276"/>
    <w:rsid w:val="000A0CC0"/>
    <w:rsid w:val="000B0830"/>
    <w:rsid w:val="000C0BE4"/>
    <w:rsid w:val="000C68C7"/>
    <w:rsid w:val="000E114A"/>
    <w:rsid w:val="000F5A15"/>
    <w:rsid w:val="00104C63"/>
    <w:rsid w:val="00120F8B"/>
    <w:rsid w:val="0012341C"/>
    <w:rsid w:val="00147AFE"/>
    <w:rsid w:val="00191AC8"/>
    <w:rsid w:val="001B4796"/>
    <w:rsid w:val="001E023E"/>
    <w:rsid w:val="001E7F2A"/>
    <w:rsid w:val="00230217"/>
    <w:rsid w:val="00231979"/>
    <w:rsid w:val="00242ED3"/>
    <w:rsid w:val="00247D3C"/>
    <w:rsid w:val="0025158B"/>
    <w:rsid w:val="0025775D"/>
    <w:rsid w:val="00260026"/>
    <w:rsid w:val="00272B68"/>
    <w:rsid w:val="00274D31"/>
    <w:rsid w:val="00276D14"/>
    <w:rsid w:val="00282F52"/>
    <w:rsid w:val="00293F6A"/>
    <w:rsid w:val="00297E9F"/>
    <w:rsid w:val="00302274"/>
    <w:rsid w:val="00311B2F"/>
    <w:rsid w:val="00321397"/>
    <w:rsid w:val="003271D7"/>
    <w:rsid w:val="0035050A"/>
    <w:rsid w:val="003533E8"/>
    <w:rsid w:val="00361E33"/>
    <w:rsid w:val="00393544"/>
    <w:rsid w:val="003D164C"/>
    <w:rsid w:val="003E3F54"/>
    <w:rsid w:val="003F4E89"/>
    <w:rsid w:val="004142D8"/>
    <w:rsid w:val="00414E5F"/>
    <w:rsid w:val="00416CBB"/>
    <w:rsid w:val="004213B2"/>
    <w:rsid w:val="004235AC"/>
    <w:rsid w:val="00430373"/>
    <w:rsid w:val="004329F5"/>
    <w:rsid w:val="00446286"/>
    <w:rsid w:val="0046101D"/>
    <w:rsid w:val="00461F62"/>
    <w:rsid w:val="00475060"/>
    <w:rsid w:val="00477F54"/>
    <w:rsid w:val="00492DCB"/>
    <w:rsid w:val="00493360"/>
    <w:rsid w:val="0049614D"/>
    <w:rsid w:val="00496AC9"/>
    <w:rsid w:val="004A126B"/>
    <w:rsid w:val="004D1C32"/>
    <w:rsid w:val="004D7929"/>
    <w:rsid w:val="004E0767"/>
    <w:rsid w:val="004E429C"/>
    <w:rsid w:val="004F49CF"/>
    <w:rsid w:val="0050452A"/>
    <w:rsid w:val="00517332"/>
    <w:rsid w:val="00530F6D"/>
    <w:rsid w:val="00542122"/>
    <w:rsid w:val="0054422C"/>
    <w:rsid w:val="00545C61"/>
    <w:rsid w:val="005526AC"/>
    <w:rsid w:val="00557381"/>
    <w:rsid w:val="00577DEB"/>
    <w:rsid w:val="005804AA"/>
    <w:rsid w:val="005910B0"/>
    <w:rsid w:val="005B7960"/>
    <w:rsid w:val="005C1C6E"/>
    <w:rsid w:val="005C4296"/>
    <w:rsid w:val="005D3651"/>
    <w:rsid w:val="005F5E61"/>
    <w:rsid w:val="00613888"/>
    <w:rsid w:val="006239C0"/>
    <w:rsid w:val="006267B8"/>
    <w:rsid w:val="00630E31"/>
    <w:rsid w:val="0063523C"/>
    <w:rsid w:val="006710C8"/>
    <w:rsid w:val="00681238"/>
    <w:rsid w:val="006822AB"/>
    <w:rsid w:val="00684F55"/>
    <w:rsid w:val="006A3F79"/>
    <w:rsid w:val="006B2A18"/>
    <w:rsid w:val="006D1EEE"/>
    <w:rsid w:val="006D7FE4"/>
    <w:rsid w:val="006E0941"/>
    <w:rsid w:val="006E1933"/>
    <w:rsid w:val="0070239D"/>
    <w:rsid w:val="00725200"/>
    <w:rsid w:val="00757609"/>
    <w:rsid w:val="00764AF5"/>
    <w:rsid w:val="007832B0"/>
    <w:rsid w:val="0078634D"/>
    <w:rsid w:val="00794419"/>
    <w:rsid w:val="00796635"/>
    <w:rsid w:val="007B0882"/>
    <w:rsid w:val="007B755E"/>
    <w:rsid w:val="007C056A"/>
    <w:rsid w:val="007C2C01"/>
    <w:rsid w:val="007C2E24"/>
    <w:rsid w:val="007D0C87"/>
    <w:rsid w:val="007D7CA6"/>
    <w:rsid w:val="007E2403"/>
    <w:rsid w:val="007F249B"/>
    <w:rsid w:val="007F2C94"/>
    <w:rsid w:val="00803786"/>
    <w:rsid w:val="00804834"/>
    <w:rsid w:val="008123D2"/>
    <w:rsid w:val="00816891"/>
    <w:rsid w:val="00823D9A"/>
    <w:rsid w:val="00833FB7"/>
    <w:rsid w:val="00836640"/>
    <w:rsid w:val="00857F88"/>
    <w:rsid w:val="0086770F"/>
    <w:rsid w:val="008705C5"/>
    <w:rsid w:val="0087267F"/>
    <w:rsid w:val="00872FAD"/>
    <w:rsid w:val="008879F8"/>
    <w:rsid w:val="008B64F1"/>
    <w:rsid w:val="008D2267"/>
    <w:rsid w:val="008E2555"/>
    <w:rsid w:val="008E6BAA"/>
    <w:rsid w:val="008F5AFB"/>
    <w:rsid w:val="00910886"/>
    <w:rsid w:val="00927B06"/>
    <w:rsid w:val="00942BB2"/>
    <w:rsid w:val="00953804"/>
    <w:rsid w:val="00955A92"/>
    <w:rsid w:val="009963D0"/>
    <w:rsid w:val="009A03ED"/>
    <w:rsid w:val="009A4A9F"/>
    <w:rsid w:val="009B5560"/>
    <w:rsid w:val="009B6B14"/>
    <w:rsid w:val="009D126A"/>
    <w:rsid w:val="009D1CD3"/>
    <w:rsid w:val="009D3D31"/>
    <w:rsid w:val="009F294B"/>
    <w:rsid w:val="00A030DD"/>
    <w:rsid w:val="00A03A6A"/>
    <w:rsid w:val="00A2396C"/>
    <w:rsid w:val="00A23D00"/>
    <w:rsid w:val="00A37C4E"/>
    <w:rsid w:val="00A6029B"/>
    <w:rsid w:val="00A733AC"/>
    <w:rsid w:val="00A90061"/>
    <w:rsid w:val="00A913CD"/>
    <w:rsid w:val="00A939BC"/>
    <w:rsid w:val="00A93DDB"/>
    <w:rsid w:val="00A95D8C"/>
    <w:rsid w:val="00AC49E9"/>
    <w:rsid w:val="00AC77F1"/>
    <w:rsid w:val="00AD06CE"/>
    <w:rsid w:val="00AE17AF"/>
    <w:rsid w:val="00AE2C4A"/>
    <w:rsid w:val="00AE624D"/>
    <w:rsid w:val="00AF07F9"/>
    <w:rsid w:val="00AF4012"/>
    <w:rsid w:val="00AF4EDA"/>
    <w:rsid w:val="00AF5AEE"/>
    <w:rsid w:val="00B03B4F"/>
    <w:rsid w:val="00B12F34"/>
    <w:rsid w:val="00B22B9B"/>
    <w:rsid w:val="00B2451E"/>
    <w:rsid w:val="00B368EB"/>
    <w:rsid w:val="00B5282D"/>
    <w:rsid w:val="00B721EC"/>
    <w:rsid w:val="00B74938"/>
    <w:rsid w:val="00B85554"/>
    <w:rsid w:val="00B959E0"/>
    <w:rsid w:val="00BC4EDA"/>
    <w:rsid w:val="00BC7D74"/>
    <w:rsid w:val="00BD110B"/>
    <w:rsid w:val="00BE3B30"/>
    <w:rsid w:val="00C13A0E"/>
    <w:rsid w:val="00C27088"/>
    <w:rsid w:val="00C3165E"/>
    <w:rsid w:val="00C413E5"/>
    <w:rsid w:val="00C4280A"/>
    <w:rsid w:val="00C454B2"/>
    <w:rsid w:val="00C54980"/>
    <w:rsid w:val="00C741B7"/>
    <w:rsid w:val="00C9271B"/>
    <w:rsid w:val="00C95FB7"/>
    <w:rsid w:val="00CA0591"/>
    <w:rsid w:val="00CA40F6"/>
    <w:rsid w:val="00CA47E9"/>
    <w:rsid w:val="00CB468A"/>
    <w:rsid w:val="00CE34BA"/>
    <w:rsid w:val="00CF0CB7"/>
    <w:rsid w:val="00CF0DFB"/>
    <w:rsid w:val="00D00031"/>
    <w:rsid w:val="00D030AD"/>
    <w:rsid w:val="00D054E4"/>
    <w:rsid w:val="00D15CCB"/>
    <w:rsid w:val="00D16D55"/>
    <w:rsid w:val="00D23F2D"/>
    <w:rsid w:val="00D24A69"/>
    <w:rsid w:val="00D258D9"/>
    <w:rsid w:val="00DB2A7C"/>
    <w:rsid w:val="00DB6E44"/>
    <w:rsid w:val="00DC3002"/>
    <w:rsid w:val="00E000BE"/>
    <w:rsid w:val="00E11025"/>
    <w:rsid w:val="00E12848"/>
    <w:rsid w:val="00E22F92"/>
    <w:rsid w:val="00E265E5"/>
    <w:rsid w:val="00E41CFE"/>
    <w:rsid w:val="00E54E74"/>
    <w:rsid w:val="00E572F3"/>
    <w:rsid w:val="00E57C82"/>
    <w:rsid w:val="00E6289B"/>
    <w:rsid w:val="00E8684A"/>
    <w:rsid w:val="00EB06CD"/>
    <w:rsid w:val="00ED1F8B"/>
    <w:rsid w:val="00ED47B4"/>
    <w:rsid w:val="00EE3D24"/>
    <w:rsid w:val="00EE578E"/>
    <w:rsid w:val="00EE6A4B"/>
    <w:rsid w:val="00EF28A4"/>
    <w:rsid w:val="00EF59DE"/>
    <w:rsid w:val="00EF5D99"/>
    <w:rsid w:val="00F16565"/>
    <w:rsid w:val="00F247AF"/>
    <w:rsid w:val="00F320B5"/>
    <w:rsid w:val="00F33C36"/>
    <w:rsid w:val="00F37BF8"/>
    <w:rsid w:val="00F46ADC"/>
    <w:rsid w:val="00F546C1"/>
    <w:rsid w:val="00F55C2D"/>
    <w:rsid w:val="00F77C9F"/>
    <w:rsid w:val="00F90D3D"/>
    <w:rsid w:val="00FA11F6"/>
    <w:rsid w:val="00FA2F78"/>
    <w:rsid w:val="00FC1DAA"/>
    <w:rsid w:val="00FC3AE0"/>
    <w:rsid w:val="00FE0A46"/>
    <w:rsid w:val="00FF3A33"/>
    <w:rsid w:val="011031D1"/>
    <w:rsid w:val="02AA1A84"/>
    <w:rsid w:val="02C109EB"/>
    <w:rsid w:val="03804C18"/>
    <w:rsid w:val="042D13E6"/>
    <w:rsid w:val="0444316A"/>
    <w:rsid w:val="04A2015D"/>
    <w:rsid w:val="059D25AD"/>
    <w:rsid w:val="06631CC5"/>
    <w:rsid w:val="07745C2A"/>
    <w:rsid w:val="08B03E69"/>
    <w:rsid w:val="09B75968"/>
    <w:rsid w:val="0A3B6BE9"/>
    <w:rsid w:val="0B7A250D"/>
    <w:rsid w:val="0C6E69EE"/>
    <w:rsid w:val="11464BB6"/>
    <w:rsid w:val="12113088"/>
    <w:rsid w:val="143D67CD"/>
    <w:rsid w:val="15B64A89"/>
    <w:rsid w:val="17867785"/>
    <w:rsid w:val="18B30A11"/>
    <w:rsid w:val="19B41DC1"/>
    <w:rsid w:val="1ACE4623"/>
    <w:rsid w:val="1C9A0C96"/>
    <w:rsid w:val="1CD37CCF"/>
    <w:rsid w:val="1D547064"/>
    <w:rsid w:val="24ED5DE8"/>
    <w:rsid w:val="25D82BCA"/>
    <w:rsid w:val="25FD7B6A"/>
    <w:rsid w:val="272F5B93"/>
    <w:rsid w:val="274B6DD8"/>
    <w:rsid w:val="28FE3909"/>
    <w:rsid w:val="293D49B7"/>
    <w:rsid w:val="2B5F36A9"/>
    <w:rsid w:val="2CE101E6"/>
    <w:rsid w:val="2D90100E"/>
    <w:rsid w:val="2F4A29C0"/>
    <w:rsid w:val="339215C8"/>
    <w:rsid w:val="357D11D8"/>
    <w:rsid w:val="35D10FDA"/>
    <w:rsid w:val="362573C3"/>
    <w:rsid w:val="36D44917"/>
    <w:rsid w:val="37437A8B"/>
    <w:rsid w:val="39380959"/>
    <w:rsid w:val="3A086C25"/>
    <w:rsid w:val="3A090C19"/>
    <w:rsid w:val="3BBB1991"/>
    <w:rsid w:val="3D6D517E"/>
    <w:rsid w:val="3F6B2EDB"/>
    <w:rsid w:val="3F73CB93"/>
    <w:rsid w:val="408F5EAA"/>
    <w:rsid w:val="42DD6AC5"/>
    <w:rsid w:val="42E63A08"/>
    <w:rsid w:val="43D901B0"/>
    <w:rsid w:val="446F71BC"/>
    <w:rsid w:val="46EB7C32"/>
    <w:rsid w:val="4740402F"/>
    <w:rsid w:val="492050BA"/>
    <w:rsid w:val="4A467C10"/>
    <w:rsid w:val="4B8C7625"/>
    <w:rsid w:val="4D13771F"/>
    <w:rsid w:val="4DD35C87"/>
    <w:rsid w:val="4E2D7F79"/>
    <w:rsid w:val="50A82C45"/>
    <w:rsid w:val="510B436D"/>
    <w:rsid w:val="52D51D51"/>
    <w:rsid w:val="537F14D4"/>
    <w:rsid w:val="548B3222"/>
    <w:rsid w:val="55AD6590"/>
    <w:rsid w:val="5820375D"/>
    <w:rsid w:val="5A604A46"/>
    <w:rsid w:val="5DE81CA0"/>
    <w:rsid w:val="5EBD39ED"/>
    <w:rsid w:val="5EE25574"/>
    <w:rsid w:val="5F021772"/>
    <w:rsid w:val="5FC12957"/>
    <w:rsid w:val="614957FD"/>
    <w:rsid w:val="61905265"/>
    <w:rsid w:val="62D70746"/>
    <w:rsid w:val="668A09CB"/>
    <w:rsid w:val="66A02C7C"/>
    <w:rsid w:val="678D4AFE"/>
    <w:rsid w:val="69F620C4"/>
    <w:rsid w:val="6C90289E"/>
    <w:rsid w:val="6CB43382"/>
    <w:rsid w:val="6F467FA5"/>
    <w:rsid w:val="71043660"/>
    <w:rsid w:val="71463FBF"/>
    <w:rsid w:val="750202C6"/>
    <w:rsid w:val="75D1743B"/>
    <w:rsid w:val="760D49BA"/>
    <w:rsid w:val="76D9272B"/>
    <w:rsid w:val="77917DE9"/>
    <w:rsid w:val="783E3AD1"/>
    <w:rsid w:val="78A102B4"/>
    <w:rsid w:val="7924660E"/>
    <w:rsid w:val="7CA8270B"/>
    <w:rsid w:val="7DAD2386"/>
    <w:rsid w:val="7DFE5C17"/>
    <w:rsid w:val="7E5E47BF"/>
    <w:rsid w:val="7F0F056F"/>
    <w:rsid w:val="7F71277D"/>
    <w:rsid w:val="FEA8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semiHidden/>
    <w:unhideWhenUsed/>
    <w:qFormat/>
    <w:uiPriority w:val="99"/>
    <w:pPr>
      <w:spacing w:after="120"/>
    </w:pPr>
  </w:style>
  <w:style w:type="paragraph" w:styleId="4">
    <w:name w:val="Body Text Indent"/>
    <w:basedOn w:val="1"/>
    <w:link w:val="20"/>
    <w:semiHidden/>
    <w:unhideWhenUsed/>
    <w:qFormat/>
    <w:uiPriority w:val="99"/>
    <w:pPr>
      <w:spacing w:after="120"/>
      <w:ind w:left="420" w:leftChars="200"/>
    </w:pPr>
  </w:style>
  <w:style w:type="paragraph" w:styleId="5">
    <w:name w:val="Plain Text"/>
    <w:basedOn w:val="1"/>
    <w:link w:val="25"/>
    <w:qFormat/>
    <w:uiPriority w:val="0"/>
    <w:rPr>
      <w:rFonts w:ascii="宋体" w:hAnsi="Courier New" w:eastAsia="宋体" w:cs="Times New Roman"/>
      <w:kern w:val="0"/>
      <w:sz w:val="20"/>
      <w:lang w:val="zh-CN"/>
    </w:rPr>
  </w:style>
  <w:style w:type="paragraph" w:styleId="6">
    <w:name w:val="Date"/>
    <w:basedOn w:val="1"/>
    <w:next w:val="1"/>
    <w:link w:val="30"/>
    <w:qFormat/>
    <w:uiPriority w:val="0"/>
    <w:pPr>
      <w:ind w:left="100" w:leftChars="2500"/>
    </w:pPr>
  </w:style>
  <w:style w:type="paragraph" w:styleId="7">
    <w:name w:val="Balloon Text"/>
    <w:basedOn w:val="1"/>
    <w:link w:val="29"/>
    <w:unhideWhenUsed/>
    <w:qFormat/>
    <w:uiPriority w:val="0"/>
    <w:rPr>
      <w:rFonts w:ascii="Times New Roman" w:hAnsi="Times New Roman" w:eastAsia="仿宋_GB2312" w:cs="Times New Roman"/>
      <w:snapToGrid w:val="0"/>
      <w:kern w:val="0"/>
      <w:sz w:val="18"/>
      <w:szCs w:val="18"/>
      <w:lang w:val="zh-CN"/>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2"/>
    <w:qFormat/>
    <w:uiPriority w:val="0"/>
    <w:pPr>
      <w:spacing w:after="120" w:line="480" w:lineRule="auto"/>
    </w:pPr>
  </w:style>
  <w:style w:type="paragraph" w:styleId="11">
    <w:name w:val="Body Text First Indent"/>
    <w:basedOn w:val="3"/>
    <w:link w:val="24"/>
    <w:semiHidden/>
    <w:unhideWhenUsed/>
    <w:qFormat/>
    <w:uiPriority w:val="99"/>
    <w:pPr>
      <w:ind w:firstLine="420" w:firstLineChars="100"/>
    </w:pPr>
  </w:style>
  <w:style w:type="paragraph" w:styleId="12">
    <w:name w:val="Body Text First Indent 2"/>
    <w:basedOn w:val="1"/>
    <w:next w:val="1"/>
    <w:link w:val="21"/>
    <w:qFormat/>
    <w:uiPriority w:val="0"/>
    <w:pPr>
      <w:spacing w:after="120"/>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customStyle="1" w:styleId="18">
    <w:name w:val="页眉 Char"/>
    <w:basedOn w:val="15"/>
    <w:link w:val="9"/>
    <w:qFormat/>
    <w:uiPriority w:val="0"/>
    <w:rPr>
      <w:sz w:val="18"/>
      <w:szCs w:val="18"/>
    </w:rPr>
  </w:style>
  <w:style w:type="character" w:customStyle="1" w:styleId="19">
    <w:name w:val="页脚 Char"/>
    <w:basedOn w:val="15"/>
    <w:link w:val="8"/>
    <w:qFormat/>
    <w:uiPriority w:val="99"/>
    <w:rPr>
      <w:sz w:val="18"/>
      <w:szCs w:val="18"/>
    </w:rPr>
  </w:style>
  <w:style w:type="character" w:customStyle="1" w:styleId="20">
    <w:name w:val="正文文本缩进 Char"/>
    <w:basedOn w:val="15"/>
    <w:link w:val="4"/>
    <w:semiHidden/>
    <w:qFormat/>
    <w:uiPriority w:val="99"/>
    <w:rPr>
      <w:szCs w:val="24"/>
    </w:rPr>
  </w:style>
  <w:style w:type="character" w:customStyle="1" w:styleId="21">
    <w:name w:val="正文首行缩进 2 Char"/>
    <w:basedOn w:val="20"/>
    <w:link w:val="12"/>
    <w:qFormat/>
    <w:uiPriority w:val="0"/>
    <w:rPr>
      <w:szCs w:val="24"/>
    </w:rPr>
  </w:style>
  <w:style w:type="paragraph" w:styleId="22">
    <w:name w:val="List Paragraph"/>
    <w:basedOn w:val="1"/>
    <w:qFormat/>
    <w:uiPriority w:val="0"/>
    <w:pPr>
      <w:ind w:firstLine="420" w:firstLineChars="200"/>
    </w:pPr>
  </w:style>
  <w:style w:type="character" w:customStyle="1" w:styleId="23">
    <w:name w:val="正文文本 Char"/>
    <w:basedOn w:val="15"/>
    <w:link w:val="3"/>
    <w:semiHidden/>
    <w:qFormat/>
    <w:uiPriority w:val="99"/>
    <w:rPr>
      <w:szCs w:val="24"/>
    </w:rPr>
  </w:style>
  <w:style w:type="character" w:customStyle="1" w:styleId="24">
    <w:name w:val="正文首行缩进 Char"/>
    <w:basedOn w:val="23"/>
    <w:link w:val="11"/>
    <w:semiHidden/>
    <w:qFormat/>
    <w:uiPriority w:val="99"/>
    <w:rPr>
      <w:szCs w:val="24"/>
    </w:rPr>
  </w:style>
  <w:style w:type="character" w:customStyle="1" w:styleId="25">
    <w:name w:val="纯文本 Char"/>
    <w:basedOn w:val="15"/>
    <w:link w:val="5"/>
    <w:qFormat/>
    <w:uiPriority w:val="0"/>
    <w:rPr>
      <w:rFonts w:ascii="宋体" w:hAnsi="Courier New" w:eastAsia="宋体" w:cs="Times New Roman"/>
      <w:kern w:val="0"/>
      <w:sz w:val="20"/>
      <w:szCs w:val="24"/>
      <w:lang w:val="zh-CN" w:eastAsia="zh-CN"/>
    </w:rPr>
  </w:style>
  <w:style w:type="paragraph" w:customStyle="1" w:styleId="26">
    <w:name w:val="默认段落字体 Para Char Char Char Char Char Char Char Char Char Char"/>
    <w:basedOn w:val="1"/>
    <w:qFormat/>
    <w:uiPriority w:val="0"/>
    <w:rPr>
      <w:rFonts w:ascii="Arial" w:hAnsi="Arial" w:eastAsia="宋体" w:cs="Arial"/>
      <w:sz w:val="20"/>
      <w:szCs w:val="20"/>
    </w:rPr>
  </w:style>
  <w:style w:type="paragraph" w:customStyle="1" w:styleId="27">
    <w:name w:val="列出段落1"/>
    <w:basedOn w:val="1"/>
    <w:unhideWhenUsed/>
    <w:qFormat/>
    <w:uiPriority w:val="99"/>
    <w:pPr>
      <w:ind w:firstLine="420" w:firstLineChars="200"/>
    </w:pPr>
    <w:rPr>
      <w:rFonts w:ascii="Times New Roman" w:hAnsi="Times New Roman" w:eastAsia="宋体" w:cs="Times New Roman"/>
    </w:rPr>
  </w:style>
  <w:style w:type="table" w:customStyle="1" w:styleId="28">
    <w:name w:val="网格型1"/>
    <w:basedOn w:val="1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框文本 Char"/>
    <w:basedOn w:val="15"/>
    <w:link w:val="7"/>
    <w:qFormat/>
    <w:uiPriority w:val="0"/>
    <w:rPr>
      <w:rFonts w:ascii="Times New Roman" w:hAnsi="Times New Roman" w:eastAsia="仿宋_GB2312" w:cs="Times New Roman"/>
      <w:snapToGrid w:val="0"/>
      <w:kern w:val="0"/>
      <w:sz w:val="18"/>
      <w:szCs w:val="18"/>
      <w:lang w:val="zh-CN" w:eastAsia="zh-CN"/>
    </w:rPr>
  </w:style>
  <w:style w:type="character" w:customStyle="1" w:styleId="30">
    <w:name w:val="日期 Char"/>
    <w:link w:val="6"/>
    <w:qFormat/>
    <w:uiPriority w:val="0"/>
    <w:rPr>
      <w:szCs w:val="24"/>
    </w:rPr>
  </w:style>
  <w:style w:type="character" w:customStyle="1" w:styleId="31">
    <w:name w:val="批注框文本 Char1"/>
    <w:semiHidden/>
    <w:qFormat/>
    <w:uiPriority w:val="99"/>
    <w:rPr>
      <w:kern w:val="2"/>
      <w:sz w:val="18"/>
      <w:szCs w:val="18"/>
    </w:rPr>
  </w:style>
  <w:style w:type="character" w:customStyle="1" w:styleId="32">
    <w:name w:val="正文文本 2 Char"/>
    <w:link w:val="10"/>
    <w:qFormat/>
    <w:uiPriority w:val="0"/>
    <w:rPr>
      <w:szCs w:val="24"/>
    </w:rPr>
  </w:style>
  <w:style w:type="character" w:customStyle="1" w:styleId="33">
    <w:name w:val="页眉 Char1"/>
    <w:semiHidden/>
    <w:qFormat/>
    <w:uiPriority w:val="99"/>
    <w:rPr>
      <w:kern w:val="2"/>
      <w:sz w:val="18"/>
      <w:szCs w:val="18"/>
    </w:rPr>
  </w:style>
  <w:style w:type="character" w:customStyle="1" w:styleId="34">
    <w:name w:val="正文文本 2 Char1"/>
    <w:basedOn w:val="15"/>
    <w:semiHidden/>
    <w:qFormat/>
    <w:uiPriority w:val="99"/>
    <w:rPr>
      <w:szCs w:val="24"/>
    </w:rPr>
  </w:style>
  <w:style w:type="character" w:customStyle="1" w:styleId="35">
    <w:name w:val="页脚 Char1"/>
    <w:semiHidden/>
    <w:qFormat/>
    <w:uiPriority w:val="99"/>
    <w:rPr>
      <w:kern w:val="2"/>
      <w:sz w:val="18"/>
      <w:szCs w:val="18"/>
    </w:rPr>
  </w:style>
  <w:style w:type="character" w:customStyle="1" w:styleId="36">
    <w:name w:val="纯文本 Char1"/>
    <w:semiHidden/>
    <w:qFormat/>
    <w:uiPriority w:val="99"/>
    <w:rPr>
      <w:rFonts w:ascii="宋体" w:hAnsi="Courier New" w:cs="Courier New"/>
      <w:kern w:val="2"/>
      <w:sz w:val="21"/>
      <w:szCs w:val="21"/>
    </w:rPr>
  </w:style>
  <w:style w:type="character" w:customStyle="1" w:styleId="37">
    <w:name w:val="日期 Char1"/>
    <w:basedOn w:val="15"/>
    <w:semiHidden/>
    <w:qFormat/>
    <w:uiPriority w:val="99"/>
    <w:rPr>
      <w:szCs w:val="24"/>
    </w:rPr>
  </w:style>
  <w:style w:type="character" w:customStyle="1" w:styleId="38">
    <w:name w:val="批注框文本 Char2"/>
    <w:semiHidden/>
    <w:qFormat/>
    <w:uiPriority w:val="99"/>
    <w:rPr>
      <w:kern w:val="2"/>
      <w:sz w:val="18"/>
      <w:szCs w:val="18"/>
    </w:rPr>
  </w:style>
  <w:style w:type="paragraph" w:customStyle="1" w:styleId="3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0">
    <w:name w:val="Char Char1"/>
    <w:basedOn w:val="1"/>
    <w:qFormat/>
    <w:uiPriority w:val="0"/>
    <w:rPr>
      <w:rFonts w:ascii="Arial" w:hAnsi="Arial" w:eastAsia="宋体" w:cs="Arial"/>
      <w:sz w:val="20"/>
      <w:szCs w:val="20"/>
    </w:rPr>
  </w:style>
  <w:style w:type="character" w:customStyle="1" w:styleId="41">
    <w:name w:val="font12"/>
    <w:basedOn w:val="15"/>
    <w:qFormat/>
    <w:uiPriority w:val="0"/>
    <w:rPr>
      <w:rFonts w:hint="eastAsia" w:ascii="方正仿宋_GBK" w:hAnsi="方正仿宋_GBK" w:eastAsia="方正仿宋_GBK" w:cs="方正仿宋_GBK"/>
      <w:b/>
      <w:bCs/>
      <w:color w:val="000000"/>
      <w:sz w:val="28"/>
      <w:szCs w:val="28"/>
      <w:u w:val="none"/>
    </w:rPr>
  </w:style>
  <w:style w:type="character" w:customStyle="1" w:styleId="42">
    <w:name w:val="font111"/>
    <w:basedOn w:val="15"/>
    <w:qFormat/>
    <w:uiPriority w:val="0"/>
    <w:rPr>
      <w:rFonts w:hint="default" w:ascii="Times New Roman" w:hAnsi="Times New Roman" w:cs="Times New Roman"/>
      <w:b/>
      <w:bCs/>
      <w:color w:val="000000"/>
      <w:sz w:val="28"/>
      <w:szCs w:val="28"/>
      <w:u w:val="none"/>
    </w:rPr>
  </w:style>
  <w:style w:type="character" w:customStyle="1" w:styleId="43">
    <w:name w:val="font11"/>
    <w:basedOn w:val="15"/>
    <w:qFormat/>
    <w:uiPriority w:val="0"/>
    <w:rPr>
      <w:rFonts w:hint="default" w:ascii="方正仿宋_GB18030" w:hAnsi="方正仿宋_GB18030" w:eastAsia="方正仿宋_GB18030" w:cs="方正仿宋_GB18030"/>
      <w:b/>
      <w:bCs/>
      <w:color w:val="000000"/>
      <w:sz w:val="18"/>
      <w:szCs w:val="18"/>
      <w:u w:val="none"/>
    </w:rPr>
  </w:style>
  <w:style w:type="character" w:customStyle="1" w:styleId="44">
    <w:name w:val="font21"/>
    <w:basedOn w:val="15"/>
    <w:qFormat/>
    <w:uiPriority w:val="0"/>
    <w:rPr>
      <w:rFonts w:hint="default" w:ascii="方正仿宋_GB18030" w:hAnsi="方正仿宋_GB18030" w:eastAsia="方正仿宋_GB18030" w:cs="方正仿宋_GB18030"/>
      <w:color w:val="000000"/>
      <w:sz w:val="18"/>
      <w:szCs w:val="18"/>
      <w:u w:val="none"/>
    </w:rPr>
  </w:style>
  <w:style w:type="character" w:customStyle="1" w:styleId="45">
    <w:name w:val="font31"/>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contoso</Company>
  <Pages>12</Pages>
  <Words>4766</Words>
  <Characters>4987</Characters>
  <Lines>6</Lines>
  <Paragraphs>1</Paragraphs>
  <TotalTime>98</TotalTime>
  <ScaleCrop>false</ScaleCrop>
  <LinksUpToDate>false</LinksUpToDate>
  <CharactersWithSpaces>5217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2024-11-13T17:57:00Z</dcterms:created>
  <dc:creator>Windows 用户</dc:creator>
  <cp:lastModifiedBy>joylove35</cp:lastModifiedBy>
  <cp:lastPrinted>2025-05-28T09:38:00Z</cp:lastPrinted>
  <dcterms:modified xsi:type="dcterms:W3CDTF">2025-07-29T07:47:58Z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E6AB30F131194147859444E8F49834B3_13</vt:lpwstr>
  </property>
  <property fmtid="{D5CDD505-2E9C-101B-9397-08002B2CF9AE}" pid="4" name="KSOTemplateDocerSaveRecord">
    <vt:lpwstr>eyJoZGlkIjoiNTQ5MTI2MWZiOTJjNjA1NGE5MzI0OTdlZDAwY2RmM2YiLCJ1c2VySWQiOiI4NzI4NDU1MDcifQ==</vt:lpwstr>
  </property>
</Properties>
</file>