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1CB7CD">
      <w:pPr>
        <w:spacing w:line="600" w:lineRule="exact"/>
        <w:jc w:val="center"/>
        <w:rPr>
          <w:rFonts w:ascii="方正小标宋_GBK" w:eastAsia="方正小标宋_GBK"/>
          <w:snapToGrid w:val="0"/>
          <w:color w:val="000000" w:themeColor="text1"/>
          <w:w w:val="99"/>
          <w:sz w:val="44"/>
          <w:szCs w:val="44"/>
          <w14:textFill>
            <w14:solidFill>
              <w14:schemeClr w14:val="tx1"/>
            </w14:solidFill>
          </w14:textFill>
        </w:rPr>
      </w:pPr>
      <w:r>
        <w:rPr>
          <w:rFonts w:hint="eastAsia" w:ascii="方正小标宋_GBK" w:eastAsia="方正小标宋_GBK"/>
          <w:snapToGrid w:val="0"/>
          <w:color w:val="000000" w:themeColor="text1"/>
          <w:w w:val="99"/>
          <w:sz w:val="44"/>
          <w:szCs w:val="44"/>
          <w14:textFill>
            <w14:solidFill>
              <w14:schemeClr w14:val="tx1"/>
            </w14:solidFill>
          </w14:textFill>
        </w:rPr>
        <w:t>投标人须知</w:t>
      </w:r>
    </w:p>
    <w:p w14:paraId="0D55E8F3">
      <w:pPr>
        <w:spacing w:line="600" w:lineRule="exact"/>
        <w:ind w:firstLine="632" w:firstLineChars="200"/>
        <w:rPr>
          <w:rFonts w:ascii="方正黑体_GBK" w:eastAsia="方正黑体_GBK"/>
          <w:snapToGrid w:val="0"/>
          <w:color w:val="000000" w:themeColor="text1"/>
          <w:w w:val="99"/>
          <w:sz w:val="32"/>
          <w:szCs w:val="32"/>
          <w14:textFill>
            <w14:solidFill>
              <w14:schemeClr w14:val="tx1"/>
            </w14:solidFill>
          </w14:textFill>
        </w:rPr>
      </w:pPr>
      <w:r>
        <w:rPr>
          <w:rFonts w:hint="eastAsia" w:ascii="方正黑体_GBK" w:eastAsia="方正黑体_GBK"/>
          <w:snapToGrid w:val="0"/>
          <w:color w:val="000000" w:themeColor="text1"/>
          <w:w w:val="99"/>
          <w:sz w:val="32"/>
          <w:szCs w:val="32"/>
          <w14:textFill>
            <w14:solidFill>
              <w14:schemeClr w14:val="tx1"/>
            </w14:solidFill>
          </w14:textFill>
        </w:rPr>
        <w:t>一、质量要求</w:t>
      </w:r>
    </w:p>
    <w:p w14:paraId="1FCB3199">
      <w:pPr>
        <w:spacing w:line="600" w:lineRule="exact"/>
        <w:ind w:firstLine="640" w:firstLineChars="200"/>
        <w:rPr>
          <w:rFonts w:ascii="方正黑体_GBK" w:eastAsia="方正黑体_GBK"/>
          <w:snapToGrid w:val="0"/>
          <w:color w:val="000000" w:themeColor="text1"/>
          <w:w w:val="99"/>
          <w:sz w:val="32"/>
          <w:szCs w:val="32"/>
          <w14:textFill>
            <w14:solidFill>
              <w14:schemeClr w14:val="tx1"/>
            </w14:solidFill>
          </w14:textFill>
        </w:rPr>
      </w:pPr>
      <w:r>
        <w:rPr>
          <w:rFonts w:hint="eastAsia" w:ascii="方正仿宋_GBK" w:hAnsi="宋体" w:eastAsia="方正仿宋_GBK"/>
          <w:color w:val="000000" w:themeColor="text1"/>
          <w:sz w:val="32"/>
          <w:szCs w:val="32"/>
          <w14:textFill>
            <w14:solidFill>
              <w14:schemeClr w14:val="tx1"/>
            </w14:solidFill>
          </w14:textFill>
        </w:rPr>
        <w:t>达到国家现行有关施工质量验收规范要求，并达到合格标准。</w:t>
      </w:r>
    </w:p>
    <w:p w14:paraId="1BAD8C6E">
      <w:pPr>
        <w:spacing w:line="600" w:lineRule="exact"/>
        <w:ind w:firstLine="632" w:firstLineChars="200"/>
        <w:rPr>
          <w:rFonts w:ascii="方正黑体_GBK" w:eastAsia="方正黑体_GBK"/>
          <w:snapToGrid w:val="0"/>
          <w:color w:val="000000" w:themeColor="text1"/>
          <w:w w:val="99"/>
          <w:sz w:val="32"/>
          <w:szCs w:val="32"/>
          <w14:textFill>
            <w14:solidFill>
              <w14:schemeClr w14:val="tx1"/>
            </w14:solidFill>
          </w14:textFill>
        </w:rPr>
      </w:pPr>
      <w:r>
        <w:rPr>
          <w:rFonts w:hint="eastAsia" w:ascii="方正黑体_GBK" w:eastAsia="方正黑体_GBK"/>
          <w:snapToGrid w:val="0"/>
          <w:color w:val="000000" w:themeColor="text1"/>
          <w:w w:val="99"/>
          <w:sz w:val="32"/>
          <w:szCs w:val="32"/>
          <w14:textFill>
            <w14:solidFill>
              <w14:schemeClr w14:val="tx1"/>
            </w14:solidFill>
          </w14:textFill>
        </w:rPr>
        <w:t>二、投标人资质条件、信誉要求</w:t>
      </w:r>
    </w:p>
    <w:p w14:paraId="7520FDA1">
      <w:pPr>
        <w:autoSpaceDE w:val="0"/>
        <w:autoSpaceDN w:val="0"/>
        <w:adjustRightInd w:val="0"/>
        <w:snapToGrid w:val="0"/>
        <w:spacing w:line="600" w:lineRule="exact"/>
        <w:ind w:firstLine="640" w:firstLineChars="200"/>
        <w:rPr>
          <w:rFonts w:ascii="方正楷体_GBK" w:hAnsi="宋体" w:eastAsia="方正楷体_GBK"/>
          <w:color w:val="000000" w:themeColor="text1"/>
          <w:sz w:val="32"/>
          <w:szCs w:val="32"/>
          <w14:textFill>
            <w14:solidFill>
              <w14:schemeClr w14:val="tx1"/>
            </w14:solidFill>
          </w14:textFill>
        </w:rPr>
      </w:pPr>
      <w:r>
        <w:rPr>
          <w:rFonts w:hint="eastAsia" w:ascii="方正楷体_GBK" w:hAnsi="宋体" w:eastAsia="方正楷体_GBK"/>
          <w:color w:val="000000" w:themeColor="text1"/>
          <w:sz w:val="32"/>
          <w:szCs w:val="32"/>
          <w14:textFill>
            <w14:solidFill>
              <w14:schemeClr w14:val="tx1"/>
            </w14:solidFill>
          </w14:textFill>
        </w:rPr>
        <w:t>（一）资质条件、营业执照及安全生产条件</w:t>
      </w:r>
    </w:p>
    <w:p w14:paraId="25C293E6">
      <w:pPr>
        <w:tabs>
          <w:tab w:val="left" w:pos="3840"/>
          <w:tab w:val="left" w:pos="5300"/>
        </w:tabs>
        <w:autoSpaceDE w:val="0"/>
        <w:autoSpaceDN w:val="0"/>
        <w:spacing w:line="600" w:lineRule="exact"/>
        <w:ind w:firstLine="640" w:firstLineChars="200"/>
        <w:rPr>
          <w:rFonts w:ascii="方正仿宋_GBK" w:hAnsi="宋体" w:eastAsia="方正仿宋_GBK" w:cs="宋体"/>
          <w:color w:val="FF0000"/>
          <w:kern w:val="0"/>
          <w:sz w:val="32"/>
          <w:szCs w:val="32"/>
        </w:rPr>
      </w:pPr>
      <w:r>
        <w:rPr>
          <w:rFonts w:hint="eastAsia" w:ascii="方正楷体_GBK" w:hAnsi="宋体" w:eastAsia="方正楷体_GBK" w:cs="宋体"/>
          <w:color w:val="000000"/>
          <w:kern w:val="0"/>
          <w:sz w:val="32"/>
          <w:szCs w:val="32"/>
        </w:rPr>
        <w:t>1.</w:t>
      </w:r>
      <w:r>
        <w:rPr>
          <w:rFonts w:hint="eastAsia" w:ascii="方正仿宋_GBK" w:hAnsi="宋体" w:eastAsia="方正仿宋_GBK" w:cs="宋体"/>
          <w:color w:val="000000"/>
          <w:kern w:val="0"/>
          <w:sz w:val="32"/>
          <w:szCs w:val="32"/>
        </w:rPr>
        <w:t>本次招标要求投标人须具备</w:t>
      </w:r>
      <w:r>
        <w:rPr>
          <w:rFonts w:hint="eastAsia" w:ascii="方正仿宋_GBK" w:eastAsia="方正仿宋_GBK" w:cs="MingLiU"/>
          <w:snapToGrid w:val="0"/>
          <w:sz w:val="32"/>
          <w:szCs w:val="32"/>
          <w:u w:val="single"/>
        </w:rPr>
        <w:t>建设行政主管部门颁发钢结构工程专业承包</w:t>
      </w:r>
      <w:r>
        <w:rPr>
          <w:rFonts w:hint="eastAsia" w:ascii="方正仿宋_GBK" w:eastAsia="方正仿宋_GBK" w:cs="MingLiU"/>
          <w:snapToGrid w:val="0"/>
          <w:color w:val="FF0000"/>
          <w:sz w:val="32"/>
          <w:szCs w:val="32"/>
          <w:highlight w:val="yellow"/>
          <w:u w:val="single"/>
        </w:rPr>
        <w:t>叁级</w:t>
      </w:r>
      <w:r>
        <w:rPr>
          <w:rFonts w:hint="eastAsia" w:ascii="方正仿宋_GBK" w:eastAsia="方正仿宋_GBK" w:cs="MingLiU"/>
          <w:snapToGrid w:val="0"/>
          <w:sz w:val="32"/>
          <w:szCs w:val="32"/>
          <w:u w:val="single"/>
        </w:rPr>
        <w:t>及以上资质。</w:t>
      </w:r>
    </w:p>
    <w:p w14:paraId="70507F55">
      <w:pPr>
        <w:pStyle w:val="13"/>
        <w:ind w:firstLine="960" w:firstLineChars="300"/>
      </w:pPr>
      <w:r>
        <w:rPr>
          <w:rFonts w:hint="eastAsia" w:ascii="方正仿宋_GBK" w:eastAsia="方正仿宋_GBK" w:cs="宋体"/>
          <w:color w:val="000000"/>
          <w:kern w:val="0"/>
          <w:sz w:val="32"/>
          <w:szCs w:val="32"/>
        </w:rPr>
        <w:t>2.具备建设行政主管部门颁发的有效的安全生产许可证。（提供有效的安全生产许可证复印件并加盖公司公章）</w:t>
      </w:r>
    </w:p>
    <w:p w14:paraId="6DCF8BE4">
      <w:pPr>
        <w:tabs>
          <w:tab w:val="left" w:pos="2575"/>
          <w:tab w:val="left" w:pos="3055"/>
        </w:tabs>
        <w:autoSpaceDE w:val="0"/>
        <w:autoSpaceDN w:val="0"/>
        <w:spacing w:line="600" w:lineRule="exact"/>
        <w:ind w:firstLine="960" w:firstLineChars="300"/>
        <w:rPr>
          <w:rFonts w:ascii="方正仿宋_GBK" w:hAnsi="宋体" w:eastAsia="方正仿宋_GBK" w:cs="MingLiU"/>
          <w:snapToGrid w:val="0"/>
          <w:color w:val="000000" w:themeColor="text1"/>
          <w:sz w:val="32"/>
          <w:szCs w:val="32"/>
          <w14:textFill>
            <w14:solidFill>
              <w14:schemeClr w14:val="tx1"/>
            </w14:solidFill>
          </w14:textFill>
        </w:rPr>
      </w:pPr>
      <w:r>
        <w:rPr>
          <w:rFonts w:hint="eastAsia" w:ascii="方正仿宋_GBK" w:hAnsi="宋体" w:eastAsia="方正仿宋_GBK" w:cs="MingLiU"/>
          <w:snapToGrid w:val="0"/>
          <w:color w:val="000000" w:themeColor="text1"/>
          <w:sz w:val="32"/>
          <w:szCs w:val="32"/>
          <w14:textFill>
            <w14:solidFill>
              <w14:schemeClr w14:val="tx1"/>
            </w14:solidFill>
          </w14:textFill>
        </w:rPr>
        <w:t xml:space="preserve">3.本次招标 </w:t>
      </w:r>
      <w:r>
        <w:rPr>
          <w:rFonts w:hint="eastAsia" w:ascii="方正仿宋_GBK" w:hAnsi="宋体" w:eastAsia="方正仿宋_GBK" w:cs="MingLiU"/>
          <w:snapToGrid w:val="0"/>
          <w:color w:val="000000" w:themeColor="text1"/>
          <w:sz w:val="32"/>
          <w:szCs w:val="32"/>
          <w:u w:val="single"/>
          <w14:textFill>
            <w14:solidFill>
              <w14:schemeClr w14:val="tx1"/>
            </w14:solidFill>
          </w14:textFill>
        </w:rPr>
        <w:t xml:space="preserve"> 不接受  </w:t>
      </w:r>
      <w:r>
        <w:rPr>
          <w:rFonts w:hint="eastAsia" w:ascii="方正仿宋_GBK" w:hAnsi="宋体" w:eastAsia="方正仿宋_GBK" w:cs="MingLiU"/>
          <w:snapToGrid w:val="0"/>
          <w:color w:val="000000" w:themeColor="text1"/>
          <w:sz w:val="32"/>
          <w:szCs w:val="32"/>
          <w14:textFill>
            <w14:solidFill>
              <w14:schemeClr w14:val="tx1"/>
            </w14:solidFill>
          </w14:textFill>
        </w:rPr>
        <w:t>联合体投标。联合体投标的，应满足下列要求：</w:t>
      </w:r>
      <w:r>
        <w:rPr>
          <w:rFonts w:hint="eastAsia" w:ascii="方正仿宋_GBK" w:hAnsi="宋体" w:eastAsia="方正仿宋_GBK" w:cs="MingLiU"/>
          <w:snapToGrid w:val="0"/>
          <w:color w:val="000000" w:themeColor="text1"/>
          <w:sz w:val="32"/>
          <w:szCs w:val="32"/>
          <w:u w:val="single"/>
          <w14:textFill>
            <w14:solidFill>
              <w14:schemeClr w14:val="tx1"/>
            </w14:solidFill>
          </w14:textFill>
        </w:rPr>
        <w:tab/>
      </w:r>
      <w:r>
        <w:rPr>
          <w:rFonts w:hint="eastAsia" w:ascii="方正仿宋_GBK" w:hAnsi="宋体" w:eastAsia="方正仿宋_GBK" w:cs="MingLiU"/>
          <w:snapToGrid w:val="0"/>
          <w:color w:val="000000" w:themeColor="text1"/>
          <w:sz w:val="32"/>
          <w:szCs w:val="32"/>
          <w:u w:val="single"/>
          <w14:textFill>
            <w14:solidFill>
              <w14:schemeClr w14:val="tx1"/>
            </w14:solidFill>
          </w14:textFill>
        </w:rPr>
        <w:t>/</w:t>
      </w:r>
      <w:r>
        <w:rPr>
          <w:rFonts w:hint="eastAsia" w:ascii="方正仿宋_GBK" w:hAnsi="宋体" w:eastAsia="方正仿宋_GBK" w:cs="MingLiU"/>
          <w:snapToGrid w:val="0"/>
          <w:color w:val="000000" w:themeColor="text1"/>
          <w:sz w:val="32"/>
          <w:szCs w:val="32"/>
          <w:u w:val="single"/>
          <w14:textFill>
            <w14:solidFill>
              <w14:schemeClr w14:val="tx1"/>
            </w14:solidFill>
          </w14:textFill>
        </w:rPr>
        <w:tab/>
      </w:r>
      <w:r>
        <w:rPr>
          <w:rFonts w:hint="eastAsia" w:ascii="方正仿宋_GBK" w:hAnsi="宋体" w:eastAsia="方正仿宋_GBK" w:cs="MingLiU"/>
          <w:snapToGrid w:val="0"/>
          <w:color w:val="000000" w:themeColor="text1"/>
          <w:sz w:val="32"/>
          <w:szCs w:val="32"/>
          <w14:textFill>
            <w14:solidFill>
              <w14:schemeClr w14:val="tx1"/>
            </w14:solidFill>
          </w14:textFill>
        </w:rPr>
        <w:t>。</w:t>
      </w:r>
    </w:p>
    <w:p w14:paraId="593B1B5B">
      <w:pPr>
        <w:spacing w:line="600" w:lineRule="exact"/>
        <w:ind w:firstLine="640" w:firstLineChars="200"/>
        <w:rPr>
          <w:rFonts w:ascii="方正楷体_GBK" w:hAnsi="宋体" w:eastAsia="方正楷体_GBK"/>
          <w:color w:val="000000" w:themeColor="text1"/>
          <w:sz w:val="32"/>
          <w:szCs w:val="32"/>
          <w14:textFill>
            <w14:solidFill>
              <w14:schemeClr w14:val="tx1"/>
            </w14:solidFill>
          </w14:textFill>
        </w:rPr>
      </w:pPr>
      <w:r>
        <w:rPr>
          <w:rFonts w:hint="eastAsia" w:ascii="方正楷体_GBK" w:hAnsi="宋体" w:eastAsia="方正楷体_GBK"/>
          <w:color w:val="000000" w:themeColor="text1"/>
          <w:sz w:val="32"/>
          <w:szCs w:val="32"/>
          <w14:textFill>
            <w14:solidFill>
              <w14:schemeClr w14:val="tx1"/>
            </w14:solidFill>
          </w14:textFill>
        </w:rPr>
        <w:t>（二）信誉要求</w:t>
      </w:r>
    </w:p>
    <w:p w14:paraId="0D72D14A">
      <w:pPr>
        <w:spacing w:line="600" w:lineRule="exact"/>
        <w:ind w:firstLine="640" w:firstLineChars="200"/>
        <w:rPr>
          <w:rFonts w:ascii="方正楷体_GBK" w:hAnsi="宋体" w:eastAsia="方正楷体_GBK"/>
          <w:color w:val="000000" w:themeColor="text1"/>
          <w:sz w:val="32"/>
          <w:szCs w:val="32"/>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1．</w:t>
      </w:r>
      <w:r>
        <w:rPr>
          <w:rFonts w:hint="eastAsia" w:ascii="方正仿宋_GBK" w:hAnsi="宋体" w:eastAsia="方正仿宋_GBK"/>
          <w:color w:val="000000" w:themeColor="text1"/>
          <w:sz w:val="32"/>
          <w:szCs w:val="32"/>
          <w14:textFill>
            <w14:solidFill>
              <w14:schemeClr w14:val="tx1"/>
            </w14:solidFill>
          </w14:textFill>
        </w:rPr>
        <w:t>最近三年没有出现违法违规或失信行为；</w:t>
      </w:r>
    </w:p>
    <w:p w14:paraId="760D355A">
      <w:pPr>
        <w:spacing w:line="600" w:lineRule="exact"/>
        <w:ind w:firstLine="640" w:firstLineChars="200"/>
        <w:rPr>
          <w:rFonts w:ascii="方正楷体_GBK" w:hAnsi="宋体" w:eastAsia="方正楷体_GBK"/>
          <w:color w:val="000000" w:themeColor="text1"/>
          <w:sz w:val="32"/>
          <w:szCs w:val="32"/>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2．</w:t>
      </w:r>
      <w:r>
        <w:rPr>
          <w:rFonts w:hint="eastAsia" w:ascii="方正仿宋_GBK" w:hAnsi="宋体" w:eastAsia="方正仿宋_GBK"/>
          <w:color w:val="000000" w:themeColor="text1"/>
          <w:sz w:val="32"/>
          <w:szCs w:val="32"/>
          <w14:textFill>
            <w14:solidFill>
              <w14:schemeClr w14:val="tx1"/>
            </w14:solidFill>
          </w14:textFill>
        </w:rPr>
        <w:t>最近三年没有拖欠劳务费的行为；</w:t>
      </w:r>
    </w:p>
    <w:p w14:paraId="1F7006AD">
      <w:pPr>
        <w:snapToGrid w:val="0"/>
        <w:spacing w:line="600" w:lineRule="exact"/>
        <w:ind w:firstLine="640" w:firstLineChars="200"/>
        <w:rPr>
          <w:rFonts w:ascii="方正仿宋_GBK" w:hAnsi="宋体" w:eastAsia="方正仿宋_GBK"/>
          <w:color w:val="000000" w:themeColor="text1"/>
          <w:sz w:val="32"/>
          <w:szCs w:val="32"/>
          <w14:textFill>
            <w14:solidFill>
              <w14:schemeClr w14:val="tx1"/>
            </w14:solidFill>
          </w14:textFill>
        </w:rPr>
      </w:pPr>
      <w:r>
        <w:rPr>
          <w:rFonts w:ascii="Times New Roman" w:hAnsi="Times New Roman" w:eastAsia="方正仿宋_GBK"/>
          <w:color w:val="000000" w:themeColor="text1"/>
          <w:sz w:val="32"/>
          <w:szCs w:val="20"/>
          <w14:textFill>
            <w14:solidFill>
              <w14:schemeClr w14:val="tx1"/>
            </w14:solidFill>
          </w14:textFill>
        </w:rPr>
        <w:t>3</w:t>
      </w:r>
      <w:r>
        <w:rPr>
          <w:rFonts w:hint="eastAsia" w:ascii="Times New Roman" w:hAnsi="Times New Roman" w:eastAsia="方正仿宋_GBK"/>
          <w:color w:val="000000" w:themeColor="text1"/>
          <w:sz w:val="32"/>
          <w:szCs w:val="20"/>
          <w14:textFill>
            <w14:solidFill>
              <w14:schemeClr w14:val="tx1"/>
            </w14:solidFill>
          </w14:textFill>
        </w:rPr>
        <w:t>．</w:t>
      </w:r>
      <w:r>
        <w:rPr>
          <w:rFonts w:hint="eastAsia" w:ascii="方正仿宋_GBK" w:hAnsi="宋体" w:eastAsia="方正仿宋_GBK"/>
          <w:color w:val="000000" w:themeColor="text1"/>
          <w:sz w:val="32"/>
          <w:szCs w:val="32"/>
          <w14:textFill>
            <w14:solidFill>
              <w14:schemeClr w14:val="tx1"/>
            </w14:solidFill>
          </w14:textFill>
        </w:rPr>
        <w:t>最近三年没有无故弃标的不良记录；</w:t>
      </w:r>
    </w:p>
    <w:p w14:paraId="55DE10F6">
      <w:pPr>
        <w:autoSpaceDE w:val="0"/>
        <w:autoSpaceDN w:val="0"/>
        <w:adjustRightInd w:val="0"/>
        <w:snapToGrid w:val="0"/>
        <w:spacing w:line="600" w:lineRule="exact"/>
        <w:ind w:firstLine="640" w:firstLineChars="200"/>
        <w:rPr>
          <w:rFonts w:ascii="方正仿宋_GBK" w:hAnsi="宋体" w:eastAsia="方正仿宋_GBK"/>
          <w:color w:val="000000" w:themeColor="text1"/>
          <w:sz w:val="32"/>
          <w:szCs w:val="32"/>
          <w14:textFill>
            <w14:solidFill>
              <w14:schemeClr w14:val="tx1"/>
            </w14:solidFill>
          </w14:textFill>
        </w:rPr>
      </w:pPr>
      <w:r>
        <w:rPr>
          <w:rFonts w:ascii="Times New Roman" w:hAnsi="Times New Roman" w:eastAsia="方正仿宋_GBK"/>
          <w:color w:val="000000" w:themeColor="text1"/>
          <w:sz w:val="32"/>
          <w:szCs w:val="20"/>
          <w14:textFill>
            <w14:solidFill>
              <w14:schemeClr w14:val="tx1"/>
            </w14:solidFill>
          </w14:textFill>
        </w:rPr>
        <w:t>4</w:t>
      </w:r>
      <w:r>
        <w:rPr>
          <w:rFonts w:hint="eastAsia" w:ascii="Times New Roman" w:hAnsi="Times New Roman" w:eastAsia="方正仿宋_GBK"/>
          <w:color w:val="000000" w:themeColor="text1"/>
          <w:sz w:val="32"/>
          <w:szCs w:val="20"/>
          <w14:textFill>
            <w14:solidFill>
              <w14:schemeClr w14:val="tx1"/>
            </w14:solidFill>
          </w14:textFill>
        </w:rPr>
        <w:t>．</w:t>
      </w:r>
      <w:r>
        <w:rPr>
          <w:rFonts w:hint="eastAsia" w:ascii="方正仿宋_GBK" w:hAnsi="宋体" w:eastAsia="方正仿宋_GBK"/>
          <w:color w:val="000000" w:themeColor="text1"/>
          <w:sz w:val="32"/>
          <w:szCs w:val="32"/>
          <w14:textFill>
            <w14:solidFill>
              <w14:schemeClr w14:val="tx1"/>
            </w14:solidFill>
          </w14:textFill>
        </w:rPr>
        <w:t>最近三年没有受到行政处罚。</w:t>
      </w:r>
    </w:p>
    <w:p w14:paraId="62C99F84">
      <w:pPr>
        <w:spacing w:line="600" w:lineRule="exact"/>
        <w:ind w:firstLine="640" w:firstLineChars="200"/>
        <w:rPr>
          <w:rFonts w:ascii="方正仿宋_GBK" w:hAnsi="宋体" w:eastAsia="方正仿宋_GBK"/>
          <w:color w:val="000000" w:themeColor="text1"/>
          <w:sz w:val="32"/>
          <w:szCs w:val="32"/>
          <w14:textFill>
            <w14:solidFill>
              <w14:schemeClr w14:val="tx1"/>
            </w14:solidFill>
          </w14:textFill>
        </w:rPr>
      </w:pPr>
      <w:r>
        <w:rPr>
          <w:rFonts w:hint="eastAsia" w:ascii="方正仿宋_GBK" w:hAnsi="宋体" w:eastAsia="方正仿宋_GBK"/>
          <w:color w:val="000000" w:themeColor="text1"/>
          <w:sz w:val="32"/>
          <w:szCs w:val="32"/>
          <w14:textFill>
            <w14:solidFill>
              <w14:schemeClr w14:val="tx1"/>
            </w14:solidFill>
          </w14:textFill>
        </w:rPr>
        <w:t>注：</w:t>
      </w:r>
    </w:p>
    <w:p w14:paraId="2258D4AE">
      <w:pPr>
        <w:spacing w:line="600" w:lineRule="exact"/>
        <w:ind w:firstLine="640" w:firstLineChars="200"/>
        <w:rPr>
          <w:rFonts w:ascii="方正仿宋_GBK" w:hAnsi="宋体" w:eastAsia="方正仿宋_GBK"/>
          <w:color w:val="000000" w:themeColor="text1"/>
          <w:sz w:val="32"/>
          <w:szCs w:val="32"/>
          <w14:textFill>
            <w14:solidFill>
              <w14:schemeClr w14:val="tx1"/>
            </w14:solidFill>
          </w14:textFill>
        </w:rPr>
      </w:pPr>
      <w:r>
        <w:rPr>
          <w:rFonts w:hint="eastAsia" w:ascii="方正仿宋_GBK" w:hAnsi="宋体" w:eastAsia="方正仿宋_GBK"/>
          <w:color w:val="000000" w:themeColor="text1"/>
          <w:sz w:val="32"/>
          <w:szCs w:val="32"/>
          <w14:textFill>
            <w14:solidFill>
              <w14:schemeClr w14:val="tx1"/>
            </w14:solidFill>
          </w14:textFill>
        </w:rPr>
        <w:t>（1）各投标人自行书面承诺（加盖单位公章），格式自拟。最近三年的具体时间是指投标截止之日起的前三年。</w:t>
      </w:r>
    </w:p>
    <w:p w14:paraId="4F5DCF73">
      <w:pPr>
        <w:spacing w:line="600" w:lineRule="exact"/>
        <w:ind w:firstLine="640" w:firstLineChars="200"/>
        <w:rPr>
          <w:rFonts w:ascii="方正仿宋_GBK" w:hAnsi="宋体" w:eastAsia="方正仿宋_GBK"/>
          <w:color w:val="000000" w:themeColor="text1"/>
          <w:sz w:val="32"/>
          <w:szCs w:val="32"/>
          <w14:textFill>
            <w14:solidFill>
              <w14:schemeClr w14:val="tx1"/>
            </w14:solidFill>
          </w14:textFill>
        </w:rPr>
      </w:pPr>
      <w:r>
        <w:rPr>
          <w:rFonts w:hint="eastAsia" w:ascii="方正仿宋_GBK" w:hAnsi="宋体" w:eastAsia="方正仿宋_GBK"/>
          <w:color w:val="000000" w:themeColor="text1"/>
          <w:sz w:val="32"/>
          <w:szCs w:val="32"/>
          <w14:textFill>
            <w14:solidFill>
              <w14:schemeClr w14:val="tx1"/>
            </w14:solidFill>
          </w14:textFill>
        </w:rPr>
        <w:t>（2）以上要求的所有资料必须清晰，盖章清楚，并且携带原件至开标现场备查。</w:t>
      </w:r>
    </w:p>
    <w:p w14:paraId="0EC082B4">
      <w:pPr>
        <w:spacing w:line="600" w:lineRule="exact"/>
        <w:ind w:firstLine="632" w:firstLineChars="200"/>
        <w:rPr>
          <w:rFonts w:ascii="方正黑体_GBK" w:eastAsia="方正黑体_GBK"/>
          <w:snapToGrid w:val="0"/>
          <w:color w:val="000000" w:themeColor="text1"/>
          <w:w w:val="99"/>
          <w:sz w:val="32"/>
          <w:szCs w:val="32"/>
          <w14:textFill>
            <w14:solidFill>
              <w14:schemeClr w14:val="tx1"/>
            </w14:solidFill>
          </w14:textFill>
        </w:rPr>
      </w:pPr>
      <w:r>
        <w:rPr>
          <w:rFonts w:hint="eastAsia" w:ascii="方正黑体_GBK" w:eastAsia="方正黑体_GBK"/>
          <w:snapToGrid w:val="0"/>
          <w:color w:val="000000" w:themeColor="text1"/>
          <w:w w:val="99"/>
          <w:sz w:val="32"/>
          <w:szCs w:val="32"/>
          <w14:textFill>
            <w14:solidFill>
              <w14:schemeClr w14:val="tx1"/>
            </w14:solidFill>
          </w14:textFill>
        </w:rPr>
        <w:t>三、投标报价</w:t>
      </w:r>
    </w:p>
    <w:p w14:paraId="2BAF8D4C">
      <w:pPr>
        <w:widowControl/>
        <w:shd w:val="clear" w:color="auto" w:fill="FFFFFF"/>
        <w:spacing w:line="600" w:lineRule="atLeast"/>
        <w:ind w:firstLine="480" w:firstLineChars="150"/>
        <w:textAlignment w:val="baseline"/>
        <w:rPr>
          <w:rFonts w:ascii="方正仿宋_GBK" w:hAnsi="宋体" w:eastAsia="方正仿宋_GBK" w:cs="宋体"/>
          <w:color w:val="333333"/>
          <w:kern w:val="0"/>
          <w:sz w:val="32"/>
          <w:szCs w:val="32"/>
        </w:rPr>
      </w:pPr>
      <w:r>
        <w:rPr>
          <w:rFonts w:hint="eastAsia" w:ascii="方正仿宋_GBK" w:hAnsi="宋体" w:eastAsia="方正仿宋_GBK" w:cs="宋体"/>
          <w:color w:val="000000"/>
          <w:kern w:val="0"/>
          <w:sz w:val="32"/>
          <w:szCs w:val="32"/>
        </w:rPr>
        <w:t>最高限价：本工程招标将设置投标总报价最高限价1977487.84元</w:t>
      </w:r>
      <w:r>
        <w:rPr>
          <w:rFonts w:hint="eastAsia" w:ascii="方正仿宋_GBK" w:hAnsi="宋体" w:eastAsia="方正仿宋_GBK" w:cs="宋体"/>
          <w:kern w:val="0"/>
          <w:sz w:val="32"/>
          <w:szCs w:val="32"/>
        </w:rPr>
        <w:t>,全部清单综合单价最高限价（含技术措施，具体详见招标人发布的招标清单最高限价），投标总报价最高限价、综合单价最高限价</w:t>
      </w:r>
      <w:r>
        <w:rPr>
          <w:rFonts w:ascii="方正仿宋_GBK" w:hAnsi="宋体" w:eastAsia="方正仿宋_GBK" w:cs="宋体"/>
          <w:color w:val="333333"/>
          <w:kern w:val="0"/>
          <w:sz w:val="32"/>
          <w:szCs w:val="32"/>
        </w:rPr>
        <w:t>包含但不限于人工费</w:t>
      </w:r>
      <w:r>
        <w:rPr>
          <w:rFonts w:hint="eastAsia" w:ascii="方正仿宋_GBK" w:hAnsi="宋体" w:eastAsia="方正仿宋_GBK" w:cs="宋体"/>
          <w:color w:val="333333"/>
          <w:kern w:val="0"/>
          <w:sz w:val="32"/>
          <w:szCs w:val="32"/>
        </w:rPr>
        <w:t>，</w:t>
      </w:r>
      <w:r>
        <w:rPr>
          <w:rFonts w:ascii="方正仿宋_GBK" w:hAnsi="宋体" w:eastAsia="方正仿宋_GBK" w:cs="宋体"/>
          <w:color w:val="333333"/>
          <w:kern w:val="0"/>
          <w:sz w:val="32"/>
          <w:szCs w:val="32"/>
        </w:rPr>
        <w:t>材料费</w:t>
      </w:r>
      <w:r>
        <w:rPr>
          <w:rFonts w:hint="eastAsia" w:ascii="方正仿宋_GBK" w:hAnsi="宋体" w:eastAsia="方正仿宋_GBK" w:cs="宋体"/>
          <w:color w:val="333333"/>
          <w:kern w:val="0"/>
          <w:sz w:val="32"/>
          <w:szCs w:val="32"/>
        </w:rPr>
        <w:t>，</w:t>
      </w:r>
      <w:r>
        <w:rPr>
          <w:rFonts w:ascii="方正仿宋_GBK" w:hAnsi="宋体" w:eastAsia="方正仿宋_GBK" w:cs="宋体"/>
          <w:color w:val="333333"/>
          <w:kern w:val="0"/>
          <w:sz w:val="32"/>
          <w:szCs w:val="32"/>
        </w:rPr>
        <w:t>施工机具使用费</w:t>
      </w:r>
      <w:r>
        <w:rPr>
          <w:rFonts w:hint="eastAsia" w:ascii="方正仿宋_GBK" w:hAnsi="宋体" w:eastAsia="方正仿宋_GBK" w:cs="宋体"/>
          <w:color w:val="333333"/>
          <w:kern w:val="0"/>
          <w:sz w:val="32"/>
          <w:szCs w:val="32"/>
        </w:rPr>
        <w:t>，</w:t>
      </w:r>
      <w:r>
        <w:rPr>
          <w:rFonts w:ascii="方正仿宋_GBK" w:hAnsi="宋体" w:eastAsia="方正仿宋_GBK" w:cs="宋体"/>
          <w:color w:val="333333"/>
          <w:kern w:val="0"/>
          <w:sz w:val="32"/>
          <w:szCs w:val="32"/>
        </w:rPr>
        <w:t>企业管理费</w:t>
      </w:r>
      <w:r>
        <w:rPr>
          <w:rFonts w:hint="eastAsia" w:ascii="方正仿宋_GBK" w:hAnsi="宋体" w:eastAsia="方正仿宋_GBK" w:cs="宋体"/>
          <w:color w:val="333333"/>
          <w:kern w:val="0"/>
          <w:sz w:val="32"/>
          <w:szCs w:val="32"/>
        </w:rPr>
        <w:t>，</w:t>
      </w:r>
      <w:r>
        <w:rPr>
          <w:rFonts w:ascii="方正仿宋_GBK" w:hAnsi="宋体" w:eastAsia="方正仿宋_GBK" w:cs="宋体"/>
          <w:color w:val="333333"/>
          <w:kern w:val="0"/>
          <w:sz w:val="32"/>
          <w:szCs w:val="32"/>
        </w:rPr>
        <w:t>利润</w:t>
      </w:r>
      <w:r>
        <w:rPr>
          <w:rFonts w:hint="eastAsia" w:ascii="方正仿宋_GBK" w:hAnsi="宋体" w:eastAsia="方正仿宋_GBK" w:cs="宋体"/>
          <w:color w:val="333333"/>
          <w:kern w:val="0"/>
          <w:sz w:val="32"/>
          <w:szCs w:val="32"/>
        </w:rPr>
        <w:t>，人工、</w:t>
      </w:r>
      <w:r>
        <w:rPr>
          <w:rFonts w:ascii="方正仿宋_GBK" w:hAnsi="宋体" w:eastAsia="方正仿宋_GBK" w:cs="宋体"/>
          <w:color w:val="333333"/>
          <w:kern w:val="0"/>
          <w:sz w:val="32"/>
          <w:szCs w:val="32"/>
        </w:rPr>
        <w:t>材料</w:t>
      </w:r>
      <w:r>
        <w:rPr>
          <w:rFonts w:hint="eastAsia" w:ascii="方正仿宋_GBK" w:hAnsi="宋体" w:eastAsia="方正仿宋_GBK" w:cs="宋体"/>
          <w:color w:val="333333"/>
          <w:kern w:val="0"/>
          <w:sz w:val="32"/>
          <w:szCs w:val="32"/>
        </w:rPr>
        <w:t>、机具</w:t>
      </w:r>
      <w:r>
        <w:rPr>
          <w:rFonts w:ascii="方正仿宋_GBK" w:hAnsi="宋体" w:eastAsia="方正仿宋_GBK" w:cs="宋体"/>
          <w:color w:val="333333"/>
          <w:kern w:val="0"/>
          <w:sz w:val="32"/>
          <w:szCs w:val="32"/>
        </w:rPr>
        <w:t>价差、风险费、措施项目费(含安全文明施工费)、规费、税金等所有费用</w:t>
      </w:r>
      <w:r>
        <w:rPr>
          <w:rFonts w:hint="eastAsia" w:ascii="方正仿宋_GBK" w:hAnsi="宋体" w:eastAsia="方正仿宋_GBK" w:cs="宋体"/>
          <w:color w:val="333333"/>
          <w:kern w:val="0"/>
          <w:sz w:val="32"/>
          <w:szCs w:val="32"/>
        </w:rPr>
        <w:t>。投标人的投标费用总报价、全部</w:t>
      </w:r>
      <w:r>
        <w:rPr>
          <w:rFonts w:ascii="方正仿宋_GBK" w:hAnsi="宋体" w:eastAsia="方正仿宋_GBK" w:cs="宋体"/>
          <w:color w:val="333333"/>
          <w:kern w:val="0"/>
          <w:sz w:val="32"/>
          <w:szCs w:val="32"/>
        </w:rPr>
        <w:t>清单项目</w:t>
      </w:r>
      <w:r>
        <w:rPr>
          <w:rFonts w:hint="eastAsia" w:ascii="方正仿宋_GBK" w:hAnsi="宋体" w:eastAsia="方正仿宋_GBK" w:cs="宋体"/>
          <w:color w:val="333333"/>
          <w:kern w:val="0"/>
          <w:sz w:val="32"/>
          <w:szCs w:val="32"/>
        </w:rPr>
        <w:t>不得超过投标总报价最高限价、全部清单项目单价最高限价，否则，将被认定为废标,除招标人公布的最高限价为负数的清单项外，投标人综合单价、合价不得为负数，否则按否决投标处理；</w:t>
      </w:r>
    </w:p>
    <w:p w14:paraId="67417500">
      <w:pPr>
        <w:spacing w:line="600" w:lineRule="exact"/>
        <w:ind w:firstLine="640" w:firstLineChars="200"/>
        <w:rPr>
          <w:rFonts w:ascii="方正仿宋_GBK" w:eastAsia="方正仿宋_GBK"/>
          <w:b/>
          <w:bCs/>
          <w:color w:val="000000" w:themeColor="text1"/>
          <w:sz w:val="32"/>
          <w:szCs w:val="32"/>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1．</w:t>
      </w:r>
      <w:r>
        <w:rPr>
          <w:rFonts w:hint="eastAsia" w:ascii="方正仿宋_GBK" w:eastAsia="方正仿宋_GBK"/>
          <w:bCs/>
          <w:color w:val="000000" w:themeColor="text1"/>
          <w:sz w:val="32"/>
          <w:szCs w:val="32"/>
          <w14:textFill>
            <w14:solidFill>
              <w14:schemeClr w14:val="tx1"/>
            </w14:solidFill>
          </w14:textFill>
        </w:rPr>
        <w:t>工程计价方式：本工程采用固定总价计价。</w:t>
      </w:r>
    </w:p>
    <w:p w14:paraId="2CF692E3">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2．报价原则：分部分项工程量清单综合单价计价原则按《建设工程工程量清单计价规范》（GB50500-2013）、 《重庆市建设工程工程量清单计价规则》（CQJJGZ-2013）、《重庆市房屋建筑与装饰工程计价定额》 （CQJZZSDE-2018）、《重庆市通用安装工程计价定额》（CQAZDE-2018）、《重庆市建设工程施工 机械台班定额》（CQJXDE-2018）、《重庆市建设工程施工仪器仪表台班定额》（CQYQYBDE-2018）、《重 庆市建设工程混凝土及砂浆配合比表》（CQPHBB-2018）、《重庆市建设工程费用定额》（CQFYDE-2018）、 《重庆市住房和城乡建设委员会关于适用增值税新税率调整建设工程计价依据的通知》（渝建〔2019〕143 号等，以及相关配套文件为依据组价，</w:t>
      </w:r>
    </w:p>
    <w:p w14:paraId="61362F71">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其中：人工工日单价按施工合同签订当期重庆市建设工程造价总站主办且与 2018 定额配套的《重庆工程造价信息》公布的人工价格执行。</w:t>
      </w:r>
    </w:p>
    <w:p w14:paraId="7E16CDEE">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材料价格按重庆市建设工程造价总站主办的《重庆工程造价信息》施工合同签订当期公布的信息价执行；若重庆市建设工程造价总站主办的《重庆工程造价信息》中没有的材料价格，由施工单位在使用前对材料、设施设备拟选用的品牌、产地、生产厂家、数量、单价等向甲方申报，按甲方、监理单位核价的价格执行（采用《重庆工程造价信息》公布的信息价及甲方核价均为不含税价， 采用信息价的材料不计取采保费、混凝土外加剂费用及泵送费，材料二次及多次转运费）。</w:t>
      </w:r>
    </w:p>
    <w:p w14:paraId="0EDFE95A">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3．如发现工程量清单中的数量与图纸中数量不一致，应书面通知招标人核查，除非招标人以补遗书的形式予以更正，否则，应以工程量清单中列出的数量为准。</w:t>
      </w:r>
    </w:p>
    <w:p w14:paraId="2B50249B">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4．招标人在工程量清单中所列出的价格（包括安全文明施工费、暂列金额、暂估价、甲供材料等）数量和计量单位，投标人不得修改。否则，其资格性、符合性审查不合格。</w:t>
      </w:r>
    </w:p>
    <w:p w14:paraId="44F42739">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5．措施项目费：措施项目费清单包括施工组织措施项目清单和施工技术措施项目清单两部分。</w:t>
      </w:r>
    </w:p>
    <w:p w14:paraId="6DA0A8CA">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 xml:space="preserve">6．安全文明施工费：按《重庆市建设工程安全文明施工费计取及使用管理规定（2024版）》（渝建管〔2024〕38号）等相关规定据实结算。 </w:t>
      </w:r>
    </w:p>
    <w:p w14:paraId="0EEDCFBB">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7．其他：土石方外运或借土回填或建筑工地垃圾外运（如果有）必须执行重庆市政府2004年164号文《关于对主城区易撒漏物质实行密闭运输的通知》、重庆市建委渝建发[2009]13号文关于施工扬尘控制的相关规定和《九龙坡区建筑垃圾运输车辆管理工作方案》的相关规定。</w:t>
      </w:r>
    </w:p>
    <w:p w14:paraId="23E001D1">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8．投标人应根据招标人提供的施工图及工程量清单进行核算，工程量清单如果有项目漏项，工程量错误等情况，投标人应在本招标文件规定的时间内提出质疑，否则视同投标人已接受相关情况，本次投标报价已包含本工程施工图示范围内所有项目的造价。</w:t>
      </w:r>
    </w:p>
    <w:p w14:paraId="04A8DD23">
      <w:pPr>
        <w:pStyle w:val="12"/>
        <w:spacing w:before="0" w:beforeAutospacing="0" w:after="0" w:afterAutospacing="0" w:line="600" w:lineRule="exact"/>
        <w:ind w:firstLine="640" w:firstLineChars="200"/>
        <w:jc w:val="both"/>
        <w:rPr>
          <w:rFonts w:ascii="Times New Roman" w:hAnsi="Times New Roman" w:eastAsia="方正仿宋_GBK"/>
          <w:color w:val="000000" w:themeColor="text1"/>
          <w:sz w:val="32"/>
          <w:szCs w:val="20"/>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9.投标人必须按随招标文件发出的施工图及招标文件约定的实施范围、做法、内容完成实施内容，出现变更的，按变更原则办理结算。</w:t>
      </w:r>
    </w:p>
    <w:p w14:paraId="231DC0AD">
      <w:pPr>
        <w:pStyle w:val="12"/>
        <w:spacing w:before="0" w:beforeAutospacing="0" w:after="0" w:afterAutospacing="0" w:line="600" w:lineRule="exact"/>
        <w:ind w:firstLine="640" w:firstLineChars="200"/>
        <w:jc w:val="both"/>
        <w:rPr>
          <w:rFonts w:ascii="方正仿宋_GBK" w:eastAsia="方正仿宋_GBK" w:cs="Times New Roman"/>
          <w:color w:val="000000" w:themeColor="text1"/>
          <w:kern w:val="2"/>
          <w:sz w:val="32"/>
          <w:szCs w:val="32"/>
          <w14:textFill>
            <w14:solidFill>
              <w14:schemeClr w14:val="tx1"/>
            </w14:solidFill>
          </w14:textFill>
        </w:rPr>
      </w:pPr>
      <w:r>
        <w:rPr>
          <w:rFonts w:hint="eastAsia" w:ascii="Times New Roman" w:hAnsi="Times New Roman" w:eastAsia="方正仿宋_GBK"/>
          <w:color w:val="000000" w:themeColor="text1"/>
          <w:sz w:val="32"/>
          <w:szCs w:val="20"/>
          <w14:textFill>
            <w14:solidFill>
              <w14:schemeClr w14:val="tx1"/>
            </w14:solidFill>
          </w14:textFill>
        </w:rPr>
        <w:t>10.投标人投标清单综合单价报价及清单综合合价不得为负数，否则按专用合同条款约定办理结算。</w:t>
      </w:r>
    </w:p>
    <w:p w14:paraId="4889CB8B">
      <w:pPr>
        <w:spacing w:line="360" w:lineRule="auto"/>
        <w:ind w:firstLine="632" w:firstLineChars="200"/>
        <w:rPr>
          <w:rFonts w:ascii="方正黑体_GBK" w:eastAsia="方正黑体_GBK"/>
          <w:snapToGrid w:val="0"/>
          <w:color w:val="000000" w:themeColor="text1"/>
          <w:w w:val="99"/>
          <w:sz w:val="32"/>
          <w:szCs w:val="32"/>
          <w14:textFill>
            <w14:solidFill>
              <w14:schemeClr w14:val="tx1"/>
            </w14:solidFill>
          </w14:textFill>
        </w:rPr>
      </w:pPr>
      <w:r>
        <w:rPr>
          <w:rFonts w:hint="eastAsia" w:ascii="方正黑体_GBK" w:eastAsia="方正黑体_GBK"/>
          <w:snapToGrid w:val="0"/>
          <w:color w:val="000000" w:themeColor="text1"/>
          <w:w w:val="99"/>
          <w:sz w:val="32"/>
          <w:szCs w:val="32"/>
          <w14:textFill>
            <w14:solidFill>
              <w14:schemeClr w14:val="tx1"/>
            </w14:solidFill>
          </w14:textFill>
        </w:rPr>
        <w:t>五</w:t>
      </w:r>
      <w:r>
        <w:rPr>
          <w:rFonts w:ascii="方正黑体_GBK" w:eastAsia="方正黑体_GBK"/>
          <w:snapToGrid w:val="0"/>
          <w:color w:val="000000" w:themeColor="text1"/>
          <w:w w:val="99"/>
          <w:sz w:val="32"/>
          <w:szCs w:val="32"/>
          <w14:textFill>
            <w14:solidFill>
              <w14:schemeClr w14:val="tx1"/>
            </w14:solidFill>
          </w14:textFill>
        </w:rPr>
        <w:t>、变更</w:t>
      </w:r>
    </w:p>
    <w:p w14:paraId="772A47EB">
      <w:pPr>
        <w:pStyle w:val="28"/>
        <w:spacing w:line="600" w:lineRule="exact"/>
        <w:ind w:firstLine="640" w:firstLineChars="200"/>
        <w:rPr>
          <w:rFonts w:ascii="方正仿宋_GBK" w:hAnsi="Times New Roman" w:eastAsia="方正仿宋_GBK" w:cs="Times New Roman"/>
          <w:b/>
          <w:bCs/>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kern w:val="2"/>
          <w:sz w:val="32"/>
          <w:szCs w:val="32"/>
          <w14:textFill>
            <w14:solidFill>
              <w14:schemeClr w14:val="tx1"/>
            </w14:solidFill>
          </w14:textFill>
        </w:rPr>
        <w:t>按本次发布的施工合同条款</w:t>
      </w:r>
      <w:r>
        <w:rPr>
          <w:rFonts w:hint="eastAsia" w:ascii="方正仿宋_GBK" w:hAnsi="Times New Roman" w:eastAsia="方正仿宋_GBK" w:cs="Times New Roman"/>
          <w:b/>
          <w:bCs/>
          <w:color w:val="000000" w:themeColor="text1"/>
          <w:sz w:val="32"/>
          <w:szCs w:val="32"/>
          <w14:textFill>
            <w14:solidFill>
              <w14:schemeClr w14:val="tx1"/>
            </w14:solidFill>
          </w14:textFill>
        </w:rPr>
        <w:t>“第五条 施工范围1和施工范围2变更估价原则”执行。</w:t>
      </w:r>
    </w:p>
    <w:p w14:paraId="414F19FD">
      <w:pPr>
        <w:spacing w:line="600" w:lineRule="exact"/>
        <w:ind w:firstLine="632" w:firstLineChars="200"/>
        <w:rPr>
          <w:rFonts w:ascii="方正黑体_GBK" w:eastAsia="方正黑体_GBK"/>
          <w:snapToGrid w:val="0"/>
          <w:color w:val="000000" w:themeColor="text1"/>
          <w:w w:val="99"/>
          <w:sz w:val="32"/>
          <w:szCs w:val="32"/>
          <w14:textFill>
            <w14:solidFill>
              <w14:schemeClr w14:val="tx1"/>
            </w14:solidFill>
          </w14:textFill>
        </w:rPr>
      </w:pPr>
      <w:r>
        <w:rPr>
          <w:rFonts w:hint="eastAsia" w:ascii="方正黑体_GBK" w:eastAsia="方正黑体_GBK"/>
          <w:snapToGrid w:val="0"/>
          <w:color w:val="000000" w:themeColor="text1"/>
          <w:w w:val="99"/>
          <w:sz w:val="32"/>
          <w:szCs w:val="32"/>
          <w14:textFill>
            <w14:solidFill>
              <w14:schemeClr w14:val="tx1"/>
            </w14:solidFill>
          </w14:textFill>
        </w:rPr>
        <w:t>六</w:t>
      </w:r>
      <w:r>
        <w:rPr>
          <w:rFonts w:ascii="方正黑体_GBK" w:eastAsia="方正黑体_GBK"/>
          <w:snapToGrid w:val="0"/>
          <w:color w:val="000000" w:themeColor="text1"/>
          <w:w w:val="99"/>
          <w:sz w:val="32"/>
          <w:szCs w:val="32"/>
          <w14:textFill>
            <w14:solidFill>
              <w14:schemeClr w14:val="tx1"/>
            </w14:solidFill>
          </w14:textFill>
        </w:rPr>
        <w:t>、</w:t>
      </w:r>
      <w:r>
        <w:rPr>
          <w:rFonts w:hint="eastAsia" w:ascii="方正黑体_GBK" w:eastAsia="方正黑体_GBK"/>
          <w:snapToGrid w:val="0"/>
          <w:color w:val="000000" w:themeColor="text1"/>
          <w:w w:val="99"/>
          <w:sz w:val="32"/>
          <w:szCs w:val="32"/>
          <w14:textFill>
            <w14:solidFill>
              <w14:schemeClr w14:val="tx1"/>
            </w14:solidFill>
          </w14:textFill>
        </w:rPr>
        <w:t>结算原则</w:t>
      </w:r>
    </w:p>
    <w:p w14:paraId="658B1A2E">
      <w:pPr>
        <w:spacing w:line="500" w:lineRule="exact"/>
        <w:ind w:firstLine="640" w:firstLineChars="200"/>
        <w:rPr>
          <w:rFonts w:ascii="方正仿宋_GBK" w:hAnsi="Times New Roman" w:eastAsia="方正仿宋_GBK" w:cs="Times New Roman"/>
          <w:b/>
          <w:bCs/>
          <w:color w:val="000000" w:themeColor="text1"/>
          <w:sz w:val="32"/>
          <w:szCs w:val="32"/>
          <w14:textFill>
            <w14:solidFill>
              <w14:schemeClr w14:val="tx1"/>
            </w14:solidFill>
          </w14:textFill>
        </w:rPr>
      </w:pPr>
      <w:bookmarkStart w:id="0" w:name="_Toc381870067"/>
      <w:bookmarkStart w:id="1" w:name="_Toc354501636"/>
      <w:bookmarkStart w:id="2" w:name="_Toc369619433"/>
      <w:bookmarkStart w:id="3" w:name="_Toc450032412"/>
      <w:bookmarkStart w:id="4" w:name="_Toc407098838"/>
      <w:r>
        <w:rPr>
          <w:rFonts w:hint="eastAsia" w:ascii="方正仿宋_GBK" w:hAnsi="Times New Roman" w:eastAsia="方正仿宋_GBK" w:cs="Times New Roman"/>
          <w:color w:val="000000" w:themeColor="text1"/>
          <w:sz w:val="32"/>
          <w:szCs w:val="32"/>
          <w14:textFill>
            <w14:solidFill>
              <w14:schemeClr w14:val="tx1"/>
            </w14:solidFill>
          </w14:textFill>
        </w:rPr>
        <w:t>结算原则：详见本邀请招标文件施工合同专用合同条款</w:t>
      </w:r>
      <w:r>
        <w:rPr>
          <w:rFonts w:hint="eastAsia" w:ascii="方正仿宋_GBK" w:hAnsi="Times New Roman" w:eastAsia="方正仿宋_GBK" w:cs="Times New Roman"/>
          <w:b/>
          <w:bCs/>
          <w:color w:val="000000" w:themeColor="text1"/>
          <w:sz w:val="32"/>
          <w:szCs w:val="32"/>
          <w14:textFill>
            <w14:solidFill>
              <w14:schemeClr w14:val="tx1"/>
            </w14:solidFill>
          </w14:textFill>
        </w:rPr>
        <w:t>“第四条 合同价款及付款方式”执行。</w:t>
      </w:r>
    </w:p>
    <w:bookmarkEnd w:id="0"/>
    <w:bookmarkEnd w:id="1"/>
    <w:bookmarkEnd w:id="2"/>
    <w:bookmarkEnd w:id="3"/>
    <w:bookmarkEnd w:id="4"/>
    <w:p w14:paraId="48304079">
      <w:pPr>
        <w:spacing w:line="600" w:lineRule="exact"/>
        <w:ind w:firstLine="632" w:firstLineChars="200"/>
        <w:rPr>
          <w:rFonts w:ascii="方正黑体_GBK" w:eastAsia="方正黑体_GBK"/>
          <w:snapToGrid w:val="0"/>
          <w:color w:val="000000" w:themeColor="text1"/>
          <w:w w:val="99"/>
          <w:sz w:val="32"/>
          <w:szCs w:val="32"/>
          <w14:textFill>
            <w14:solidFill>
              <w14:schemeClr w14:val="tx1"/>
            </w14:solidFill>
          </w14:textFill>
        </w:rPr>
      </w:pPr>
      <w:r>
        <w:rPr>
          <w:rFonts w:hint="eastAsia" w:ascii="方正黑体_GBK" w:eastAsia="方正黑体_GBK"/>
          <w:snapToGrid w:val="0"/>
          <w:color w:val="000000" w:themeColor="text1"/>
          <w:w w:val="99"/>
          <w:sz w:val="32"/>
          <w:szCs w:val="32"/>
          <w14:textFill>
            <w14:solidFill>
              <w14:schemeClr w14:val="tx1"/>
            </w14:solidFill>
          </w14:textFill>
        </w:rPr>
        <w:t>七、付款办法</w:t>
      </w:r>
    </w:p>
    <w:p w14:paraId="3A50ACC1">
      <w:pPr>
        <w:spacing w:line="580" w:lineRule="exact"/>
        <w:ind w:firstLine="640" w:firstLineChars="200"/>
        <w:rPr>
          <w:rFonts w:ascii="方正仿宋_GBK" w:hAnsi="宋体" w:eastAsia="方正仿宋_GBK" w:cs="宋体"/>
          <w:color w:val="000000"/>
          <w:kern w:val="0"/>
          <w:sz w:val="32"/>
          <w:szCs w:val="32"/>
        </w:rPr>
      </w:pPr>
      <w:r>
        <w:rPr>
          <w:rFonts w:hint="eastAsia" w:ascii="方正仿宋_GBK" w:hAnsi="宋体" w:eastAsia="方正仿宋_GBK" w:cs="宋体"/>
          <w:color w:val="000000"/>
          <w:kern w:val="0"/>
          <w:sz w:val="32"/>
          <w:szCs w:val="32"/>
        </w:rPr>
        <w:t>（一）预付款：合同签订生效且投标人启动建设后5个工作日内，甲方向丙方支付合同价款的</w:t>
      </w:r>
      <w:r>
        <w:rPr>
          <w:rFonts w:ascii="方正仿宋_GBK" w:hAnsi="宋体" w:eastAsia="方正仿宋_GBK" w:cs="宋体"/>
          <w:color w:val="000000"/>
          <w:kern w:val="0"/>
          <w:sz w:val="32"/>
          <w:szCs w:val="32"/>
        </w:rPr>
        <w:t>30</w:t>
      </w:r>
      <w:r>
        <w:rPr>
          <w:rFonts w:hint="eastAsia" w:ascii="方正仿宋_GBK" w:hAnsi="宋体" w:eastAsia="方正仿宋_GBK" w:cs="宋体"/>
          <w:color w:val="000000"/>
          <w:kern w:val="0"/>
          <w:sz w:val="32"/>
          <w:szCs w:val="32"/>
        </w:rPr>
        <w:t>%（已包括开工前应支付的安全文明施工费）；</w:t>
      </w:r>
      <w:r>
        <w:rPr>
          <w:rFonts w:ascii="方正仿宋_GBK" w:hAnsi="宋体" w:eastAsia="方正仿宋_GBK" w:cs="宋体"/>
          <w:color w:val="000000"/>
          <w:kern w:val="0"/>
          <w:sz w:val="32"/>
          <w:szCs w:val="32"/>
        </w:rPr>
        <w:t xml:space="preserve"> </w:t>
      </w:r>
    </w:p>
    <w:p w14:paraId="62B6329D">
      <w:pPr>
        <w:spacing w:line="580" w:lineRule="exact"/>
        <w:ind w:firstLine="640" w:firstLineChars="200"/>
        <w:rPr>
          <w:rFonts w:ascii="方正仿宋_GBK" w:hAnsi="宋体" w:eastAsia="方正仿宋_GBK" w:cs="宋体"/>
          <w:color w:val="000000"/>
          <w:kern w:val="0"/>
          <w:sz w:val="32"/>
          <w:szCs w:val="32"/>
        </w:rPr>
      </w:pPr>
      <w:r>
        <w:rPr>
          <w:rFonts w:hint="eastAsia" w:ascii="方正仿宋_GBK" w:hAnsi="宋体" w:eastAsia="方正仿宋_GBK" w:cs="宋体"/>
          <w:color w:val="000000"/>
          <w:kern w:val="0"/>
          <w:sz w:val="32"/>
          <w:szCs w:val="32"/>
        </w:rPr>
        <w:t>（二）工程进度款支付:投标人完成形像进度产值的50%后</w:t>
      </w:r>
      <w:r>
        <w:rPr>
          <w:rFonts w:ascii="方正仿宋_GBK" w:hAnsi="宋体" w:eastAsia="方正仿宋_GBK" w:cs="宋体"/>
          <w:color w:val="000000"/>
          <w:kern w:val="0"/>
          <w:sz w:val="32"/>
          <w:szCs w:val="32"/>
        </w:rPr>
        <w:t>5</w:t>
      </w:r>
      <w:r>
        <w:rPr>
          <w:rFonts w:hint="eastAsia" w:ascii="方正仿宋_GBK" w:hAnsi="宋体" w:eastAsia="方正仿宋_GBK" w:cs="宋体"/>
          <w:color w:val="000000"/>
          <w:kern w:val="0"/>
          <w:sz w:val="32"/>
          <w:szCs w:val="32"/>
        </w:rPr>
        <w:t>个工作日内，招标人累计向投标人支付至合同价格的5</w:t>
      </w:r>
      <w:r>
        <w:rPr>
          <w:rFonts w:ascii="方正仿宋_GBK" w:hAnsi="宋体" w:eastAsia="方正仿宋_GBK" w:cs="宋体"/>
          <w:color w:val="000000"/>
          <w:kern w:val="0"/>
          <w:sz w:val="32"/>
          <w:szCs w:val="32"/>
        </w:rPr>
        <w:t>0%；</w:t>
      </w:r>
    </w:p>
    <w:p w14:paraId="09B236F7">
      <w:pPr>
        <w:spacing w:line="580" w:lineRule="exact"/>
        <w:ind w:firstLine="640" w:firstLineChars="200"/>
        <w:rPr>
          <w:rFonts w:ascii="方正仿宋_GBK" w:hAnsi="宋体" w:eastAsia="方正仿宋_GBK" w:cs="宋体"/>
          <w:color w:val="000000"/>
          <w:kern w:val="0"/>
          <w:sz w:val="32"/>
          <w:szCs w:val="32"/>
        </w:rPr>
      </w:pPr>
      <w:r>
        <w:rPr>
          <w:rFonts w:hint="eastAsia" w:ascii="方正仿宋_GBK" w:hAnsi="宋体" w:eastAsia="方正仿宋_GBK" w:cs="宋体"/>
          <w:color w:val="000000"/>
          <w:kern w:val="0"/>
          <w:sz w:val="32"/>
          <w:szCs w:val="32"/>
        </w:rPr>
        <w:t>（三）项目完成，经招标人竣工验收合格后3个工作日内，招标人向投标人累计支付至合同价款的8</w:t>
      </w:r>
      <w:r>
        <w:rPr>
          <w:rFonts w:ascii="方正仿宋_GBK" w:hAnsi="宋体" w:eastAsia="方正仿宋_GBK" w:cs="宋体"/>
          <w:color w:val="000000"/>
          <w:kern w:val="0"/>
          <w:sz w:val="32"/>
          <w:szCs w:val="32"/>
        </w:rPr>
        <w:t>0% ；</w:t>
      </w:r>
    </w:p>
    <w:p w14:paraId="5725948F">
      <w:pPr>
        <w:pStyle w:val="2"/>
        <w:jc w:val="left"/>
        <w:rPr>
          <w:rFonts w:hint="eastAsia" w:ascii="方正仿宋_GBK" w:hAnsi="宋体" w:eastAsia="方正仿宋_GBK" w:cs="宋体"/>
          <w:b w:val="0"/>
          <w:color w:val="000000"/>
          <w:kern w:val="0"/>
          <w:szCs w:val="32"/>
        </w:rPr>
      </w:pPr>
      <w:r>
        <w:rPr>
          <w:rFonts w:hint="eastAsia"/>
        </w:rPr>
        <w:t xml:space="preserve"> </w:t>
      </w:r>
      <w:r>
        <w:t xml:space="preserve">   </w:t>
      </w:r>
      <w:r>
        <w:rPr>
          <w:rFonts w:ascii="方正仿宋_GBK" w:hAnsi="宋体" w:eastAsia="方正仿宋_GBK" w:cs="宋体"/>
          <w:b w:val="0"/>
          <w:color w:val="000000"/>
          <w:kern w:val="0"/>
          <w:szCs w:val="32"/>
        </w:rPr>
        <w:t>（四）经招标人内审完成后，招标人向投标人累计支付至</w:t>
      </w:r>
      <w:r>
        <w:rPr>
          <w:rFonts w:hint="eastAsia" w:ascii="方正仿宋_GBK" w:hAnsi="宋体" w:eastAsia="方正仿宋_GBK" w:cs="宋体"/>
          <w:b w:val="0"/>
          <w:color w:val="000000"/>
          <w:kern w:val="0"/>
          <w:szCs w:val="32"/>
        </w:rPr>
        <w:t>内</w:t>
      </w:r>
      <w:r>
        <w:rPr>
          <w:rFonts w:ascii="方正仿宋_GBK" w:hAnsi="宋体" w:eastAsia="方正仿宋_GBK" w:cs="宋体"/>
          <w:b w:val="0"/>
          <w:color w:val="000000"/>
          <w:kern w:val="0"/>
          <w:szCs w:val="32"/>
        </w:rPr>
        <w:t>审金额的</w:t>
      </w:r>
      <w:r>
        <w:rPr>
          <w:rFonts w:hint="eastAsia" w:ascii="方正仿宋_GBK" w:hAnsi="宋体" w:eastAsia="方正仿宋_GBK" w:cs="宋体"/>
          <w:b w:val="0"/>
          <w:color w:val="000000"/>
          <w:kern w:val="0"/>
          <w:szCs w:val="32"/>
        </w:rPr>
        <w:t>9</w:t>
      </w:r>
      <w:r>
        <w:rPr>
          <w:rFonts w:ascii="方正仿宋_GBK" w:hAnsi="宋体" w:eastAsia="方正仿宋_GBK" w:cs="宋体"/>
          <w:b w:val="0"/>
          <w:color w:val="000000"/>
          <w:kern w:val="0"/>
          <w:szCs w:val="32"/>
        </w:rPr>
        <w:t>7%，两年缺陷责任期满后</w:t>
      </w:r>
      <w:r>
        <w:rPr>
          <w:rFonts w:hint="eastAsia" w:ascii="方正仿宋_GBK" w:hAnsi="宋体" w:eastAsia="方正仿宋_GBK" w:cs="宋体"/>
          <w:b w:val="0"/>
          <w:color w:val="000000"/>
          <w:kern w:val="0"/>
          <w:szCs w:val="32"/>
        </w:rPr>
        <w:t>1</w:t>
      </w:r>
      <w:r>
        <w:rPr>
          <w:rFonts w:ascii="方正仿宋_GBK" w:hAnsi="宋体" w:eastAsia="方正仿宋_GBK" w:cs="宋体"/>
          <w:b w:val="0"/>
          <w:color w:val="000000"/>
          <w:kern w:val="0"/>
          <w:szCs w:val="32"/>
        </w:rPr>
        <w:t>0个工作日内，无违约情况的，招标人向投标人无息支付剩余</w:t>
      </w:r>
      <w:r>
        <w:rPr>
          <w:rFonts w:hint="eastAsia" w:ascii="方正仿宋_GBK" w:hAnsi="宋体" w:eastAsia="方正仿宋_GBK" w:cs="宋体"/>
          <w:b w:val="0"/>
          <w:color w:val="000000"/>
          <w:kern w:val="0"/>
          <w:szCs w:val="32"/>
        </w:rPr>
        <w:t>价款。</w:t>
      </w:r>
    </w:p>
    <w:p w14:paraId="192C23F7">
      <w:pPr>
        <w:spacing w:line="580" w:lineRule="exact"/>
        <w:ind w:firstLine="640" w:firstLineChars="200"/>
        <w:rPr>
          <w:rFonts w:ascii="方正仿宋_GBK" w:hAnsi="宋体" w:eastAsia="方正仿宋_GBK" w:cs="宋体"/>
          <w:color w:val="000000"/>
          <w:kern w:val="0"/>
          <w:sz w:val="32"/>
          <w:szCs w:val="32"/>
        </w:rPr>
      </w:pPr>
      <w:r>
        <w:rPr>
          <w:rFonts w:hint="eastAsia" w:ascii="方正仿宋_GBK" w:hAnsi="宋体" w:eastAsia="方正仿宋_GBK" w:cs="宋体"/>
          <w:color w:val="000000"/>
          <w:kern w:val="0"/>
          <w:sz w:val="32"/>
          <w:szCs w:val="32"/>
        </w:rPr>
        <w:t>（五）每次付款前，投标人应开具等额、合法、有效的增值税专用发票，因投标人提供的发票不符合要求造成的支付延误，责任由投标人承担。</w:t>
      </w:r>
    </w:p>
    <w:p w14:paraId="49FE6A01">
      <w:pPr>
        <w:spacing w:line="580" w:lineRule="exact"/>
        <w:ind w:firstLine="640" w:firstLineChars="200"/>
        <w:rPr>
          <w:rFonts w:ascii="方正仿宋_GBK" w:hAnsi="宋体" w:eastAsia="方正仿宋_GBK" w:cs="宋体"/>
          <w:color w:val="000000"/>
          <w:kern w:val="0"/>
          <w:sz w:val="32"/>
          <w:szCs w:val="32"/>
        </w:rPr>
      </w:pPr>
      <w:r>
        <w:rPr>
          <w:rFonts w:hint="eastAsia" w:ascii="方正仿宋_GBK" w:hAnsi="宋体" w:eastAsia="方正仿宋_GBK" w:cs="宋体"/>
          <w:color w:val="000000"/>
          <w:kern w:val="0"/>
          <w:sz w:val="32"/>
          <w:szCs w:val="32"/>
        </w:rPr>
        <w:t>（六）本项目履约保证金：招标人发出中标通知书后5日内，中标人应按中标总金额的10%向发包人缴纳履约保证金，缴纳方式为银行转帐或不可撤销的见索即付银行保函，以银行转账方式缴纳的履约保证金必须从投标人的基本帐户转出，且银行转帐、银行保函均需注明“钢结构加固工程履约保证金”，工程竣工验收合格后5个工作日内退还，均不计息。中标人未按规定的时间、金额、方式缴纳履约保证金的，招标人不与其签订施工合同，投标保证金不予退还。（收款单位：九龙现代（重庆）园区运营管理有限公司；开户行：农商行西彭支行；账号0414010120010013206）</w:t>
      </w:r>
    </w:p>
    <w:p w14:paraId="1397CC13">
      <w:pPr>
        <w:spacing w:line="580" w:lineRule="exact"/>
        <w:ind w:firstLine="640" w:firstLineChars="200"/>
        <w:rPr>
          <w:rFonts w:ascii="方正黑体_GBK" w:hAnsi="Times New Roman" w:eastAsia="方正黑体_GBK" w:cs="Times New Roman"/>
          <w:color w:val="000000" w:themeColor="text1"/>
          <w:sz w:val="32"/>
          <w:szCs w:val="32"/>
          <w14:textFill>
            <w14:solidFill>
              <w14:schemeClr w14:val="tx1"/>
            </w14:solidFill>
          </w14:textFill>
        </w:rPr>
      </w:pPr>
      <w:r>
        <w:rPr>
          <w:rFonts w:hint="eastAsia" w:ascii="方正黑体_GBK" w:hAnsi="Times New Roman" w:eastAsia="方正黑体_GBK" w:cs="Times New Roman"/>
          <w:color w:val="000000" w:themeColor="text1"/>
          <w:sz w:val="32"/>
          <w:szCs w:val="32"/>
          <w14:textFill>
            <w14:solidFill>
              <w14:schemeClr w14:val="tx1"/>
            </w14:solidFill>
          </w14:textFill>
        </w:rPr>
        <w:t>八、投标文件要求</w:t>
      </w:r>
    </w:p>
    <w:p w14:paraId="1AC2845A">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（一）投标文件组成：</w:t>
      </w:r>
    </w:p>
    <w:p w14:paraId="46505E7D">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1、投标报价函；</w:t>
      </w:r>
    </w:p>
    <w:p w14:paraId="02971BA6">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ascii="方正仿宋_GBK" w:hAnsi="Times New Roman" w:eastAsia="方正仿宋_GBK" w:cs="Times New Roman"/>
          <w:color w:val="000000" w:themeColor="text1"/>
          <w:sz w:val="32"/>
          <w:szCs w:val="32"/>
          <w14:textFill>
            <w14:solidFill>
              <w14:schemeClr w14:val="tx1"/>
            </w14:solidFill>
          </w14:textFill>
        </w:rPr>
        <w:t>2</w:t>
      </w:r>
      <w:r>
        <w:rPr>
          <w:rFonts w:hint="eastAsia" w:ascii="方正仿宋_GBK" w:hAnsi="Times New Roman" w:eastAsia="方正仿宋_GBK" w:cs="Times New Roman"/>
          <w:color w:val="000000" w:themeColor="text1"/>
          <w:sz w:val="32"/>
          <w:szCs w:val="32"/>
          <w14:textFill>
            <w14:solidFill>
              <w14:schemeClr w14:val="tx1"/>
            </w14:solidFill>
          </w14:textFill>
        </w:rPr>
        <w:t>、投标报价清单；</w:t>
      </w:r>
    </w:p>
    <w:p w14:paraId="08F7D795">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ascii="方正仿宋_GBK" w:hAnsi="Times New Roman" w:eastAsia="方正仿宋_GBK" w:cs="Times New Roman"/>
          <w:color w:val="000000" w:themeColor="text1"/>
          <w:sz w:val="32"/>
          <w:szCs w:val="32"/>
          <w14:textFill>
            <w14:solidFill>
              <w14:schemeClr w14:val="tx1"/>
            </w14:solidFill>
          </w14:textFill>
        </w:rPr>
        <w:t>3</w:t>
      </w:r>
      <w:r>
        <w:rPr>
          <w:rFonts w:hint="eastAsia" w:ascii="方正仿宋_GBK" w:hAnsi="Times New Roman" w:eastAsia="方正仿宋_GBK" w:cs="Times New Roman"/>
          <w:color w:val="000000" w:themeColor="text1"/>
          <w:sz w:val="32"/>
          <w:szCs w:val="32"/>
          <w14:textFill>
            <w14:solidFill>
              <w14:schemeClr w14:val="tx1"/>
            </w14:solidFill>
          </w14:textFill>
        </w:rPr>
        <w:t>、法人身份证明、法人</w:t>
      </w:r>
      <w:r>
        <w:rPr>
          <w:rFonts w:ascii="方正仿宋_GBK" w:hAnsi="Times New Roman" w:eastAsia="方正仿宋_GBK" w:cs="Times New Roman"/>
          <w:color w:val="000000" w:themeColor="text1"/>
          <w:sz w:val="32"/>
          <w:szCs w:val="32"/>
          <w14:textFill>
            <w14:solidFill>
              <w14:schemeClr w14:val="tx1"/>
            </w14:solidFill>
          </w14:textFill>
        </w:rPr>
        <w:t>授权委托书</w:t>
      </w:r>
      <w:r>
        <w:rPr>
          <w:rFonts w:hint="eastAsia" w:ascii="方正仿宋_GBK" w:hAnsi="Times New Roman" w:eastAsia="方正仿宋_GBK" w:cs="Times New Roman"/>
          <w:color w:val="000000" w:themeColor="text1"/>
          <w:sz w:val="32"/>
          <w:szCs w:val="32"/>
          <w14:textFill>
            <w14:solidFill>
              <w14:schemeClr w14:val="tx1"/>
            </w14:solidFill>
          </w14:textFill>
        </w:rPr>
        <w:t>；</w:t>
      </w:r>
    </w:p>
    <w:p w14:paraId="6EB916EF">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ascii="方正仿宋_GBK" w:hAnsi="Times New Roman" w:eastAsia="方正仿宋_GBK" w:cs="Times New Roman"/>
          <w:color w:val="000000" w:themeColor="text1"/>
          <w:sz w:val="32"/>
          <w:szCs w:val="32"/>
          <w14:textFill>
            <w14:solidFill>
              <w14:schemeClr w14:val="tx1"/>
            </w14:solidFill>
          </w14:textFill>
        </w:rPr>
        <w:t>4</w:t>
      </w:r>
      <w:r>
        <w:rPr>
          <w:rFonts w:hint="eastAsia" w:ascii="方正仿宋_GBK" w:hAnsi="Times New Roman" w:eastAsia="方正仿宋_GBK" w:cs="Times New Roman"/>
          <w:color w:val="000000" w:themeColor="text1"/>
          <w:sz w:val="32"/>
          <w:szCs w:val="32"/>
          <w14:textFill>
            <w14:solidFill>
              <w14:schemeClr w14:val="tx1"/>
            </w14:solidFill>
          </w14:textFill>
        </w:rPr>
        <w:t>、公司营业执照、资质、安全生产许可证复印件；</w:t>
      </w:r>
    </w:p>
    <w:p w14:paraId="3ABE3724">
      <w:pPr>
        <w:spacing w:line="580" w:lineRule="exact"/>
        <w:ind w:firstLine="643" w:firstLineChars="200"/>
        <w:rPr>
          <w:rFonts w:ascii="方正仿宋_GBK" w:hAnsi="Times New Roman" w:eastAsia="方正仿宋_GBK" w:cs="Times New Roman"/>
          <w:b/>
          <w:color w:val="000000" w:themeColor="text1"/>
          <w:sz w:val="32"/>
          <w:szCs w:val="32"/>
          <w14:textFill>
            <w14:solidFill>
              <w14:schemeClr w14:val="tx1"/>
            </w14:solidFill>
          </w14:textFill>
        </w:rPr>
      </w:pPr>
      <w:r>
        <w:rPr>
          <w:rFonts w:hint="eastAsia" w:ascii="方正仿宋_GBK" w:hAnsi="Times New Roman" w:eastAsia="方正仿宋_GBK" w:cs="Times New Roman"/>
          <w:b/>
          <w:color w:val="000000" w:themeColor="text1"/>
          <w:sz w:val="32"/>
          <w:szCs w:val="32"/>
          <w14:textFill>
            <w14:solidFill>
              <w14:schemeClr w14:val="tx1"/>
            </w14:solidFill>
          </w14:textFill>
        </w:rPr>
        <w:t>注：以上投标文件组成部分均需签章完备，否则，按废标处理。</w:t>
      </w:r>
    </w:p>
    <w:p w14:paraId="25B44669">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（二）投</w:t>
      </w:r>
      <w:r>
        <w:rPr>
          <w:rFonts w:ascii="方正仿宋_GBK" w:hAnsi="Times New Roman" w:eastAsia="方正仿宋_GBK" w:cs="Times New Roman"/>
          <w:color w:val="000000" w:themeColor="text1"/>
          <w:sz w:val="32"/>
          <w:szCs w:val="32"/>
          <w14:textFill>
            <w14:solidFill>
              <w14:schemeClr w14:val="tx1"/>
            </w14:solidFill>
          </w14:textFill>
        </w:rPr>
        <w:t>标</w:t>
      </w:r>
      <w:r>
        <w:rPr>
          <w:rFonts w:hint="eastAsia" w:ascii="方正仿宋_GBK" w:hAnsi="Times New Roman" w:eastAsia="方正仿宋_GBK" w:cs="Times New Roman"/>
          <w:color w:val="000000" w:themeColor="text1"/>
          <w:sz w:val="32"/>
          <w:szCs w:val="32"/>
          <w14:textFill>
            <w14:solidFill>
              <w14:schemeClr w14:val="tx1"/>
            </w14:solidFill>
          </w14:textFill>
        </w:rPr>
        <w:t>文件制作</w:t>
      </w:r>
    </w:p>
    <w:p w14:paraId="7FAC871B">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1、各投标人应当按谈判文件的要求编制投</w:t>
      </w:r>
      <w:r>
        <w:rPr>
          <w:rFonts w:ascii="方正仿宋_GBK" w:hAnsi="Times New Roman" w:eastAsia="方正仿宋_GBK" w:cs="Times New Roman"/>
          <w:color w:val="000000" w:themeColor="text1"/>
          <w:sz w:val="32"/>
          <w:szCs w:val="32"/>
          <w14:textFill>
            <w14:solidFill>
              <w14:schemeClr w14:val="tx1"/>
            </w14:solidFill>
          </w14:textFill>
        </w:rPr>
        <w:t>标</w:t>
      </w:r>
      <w:r>
        <w:rPr>
          <w:rFonts w:hint="eastAsia" w:ascii="方正仿宋_GBK" w:hAnsi="Times New Roman" w:eastAsia="方正仿宋_GBK" w:cs="Times New Roman"/>
          <w:color w:val="000000" w:themeColor="text1"/>
          <w:sz w:val="32"/>
          <w:szCs w:val="32"/>
          <w14:textFill>
            <w14:solidFill>
              <w14:schemeClr w14:val="tx1"/>
            </w14:solidFill>
          </w14:textFill>
        </w:rPr>
        <w:t>文件，并对谈判文件提出的要求和条件作出实质性响应，纸质文件原则上采用软面订本，同时应编制完整的页码、目录。响应文件</w:t>
      </w:r>
      <w:r>
        <w:rPr>
          <w:rFonts w:hint="eastAsia" w:ascii="方正仿宋_GBK" w:hAnsi="Times New Roman" w:eastAsia="方正仿宋_GBK" w:cs="Times New Roman"/>
          <w:b/>
          <w:color w:val="000000" w:themeColor="text1"/>
          <w:sz w:val="32"/>
          <w:szCs w:val="32"/>
          <w14:textFill>
            <w14:solidFill>
              <w14:schemeClr w14:val="tx1"/>
            </w14:solidFill>
          </w14:textFill>
        </w:rPr>
        <w:t>一式二份</w:t>
      </w:r>
      <w:r>
        <w:rPr>
          <w:rFonts w:hint="eastAsia" w:ascii="方正仿宋_GBK" w:hAnsi="Times New Roman" w:eastAsia="方正仿宋_GBK" w:cs="Times New Roman"/>
          <w:color w:val="000000" w:themeColor="text1"/>
          <w:sz w:val="32"/>
          <w:szCs w:val="32"/>
          <w14:textFill>
            <w14:solidFill>
              <w14:schemeClr w14:val="tx1"/>
            </w14:solidFill>
          </w14:textFill>
        </w:rPr>
        <w:t>（两份</w:t>
      </w:r>
      <w:r>
        <w:rPr>
          <w:rFonts w:ascii="方正仿宋_GBK" w:hAnsi="Times New Roman" w:eastAsia="方正仿宋_GBK" w:cs="Times New Roman"/>
          <w:color w:val="000000" w:themeColor="text1"/>
          <w:sz w:val="32"/>
          <w:szCs w:val="32"/>
          <w14:textFill>
            <w14:solidFill>
              <w14:schemeClr w14:val="tx1"/>
            </w14:solidFill>
          </w14:textFill>
        </w:rPr>
        <w:t>响应文件应保持内容一致</w:t>
      </w:r>
      <w:r>
        <w:rPr>
          <w:rFonts w:hint="eastAsia" w:ascii="方正仿宋_GBK" w:hAnsi="Times New Roman" w:eastAsia="方正仿宋_GBK" w:cs="Times New Roman"/>
          <w:color w:val="000000" w:themeColor="text1"/>
          <w:sz w:val="32"/>
          <w:szCs w:val="32"/>
          <w14:textFill>
            <w14:solidFill>
              <w14:schemeClr w14:val="tx1"/>
            </w14:solidFill>
          </w14:textFill>
        </w:rPr>
        <w:t>，如</w:t>
      </w:r>
      <w:r>
        <w:rPr>
          <w:rFonts w:ascii="方正仿宋_GBK" w:hAnsi="Times New Roman" w:eastAsia="方正仿宋_GBK" w:cs="Times New Roman"/>
          <w:color w:val="000000" w:themeColor="text1"/>
          <w:sz w:val="32"/>
          <w:szCs w:val="32"/>
          <w14:textFill>
            <w14:solidFill>
              <w14:schemeClr w14:val="tx1"/>
            </w14:solidFill>
          </w14:textFill>
        </w:rPr>
        <w:t>投标人两份投标文件不一致，将按有利于招标人的一份</w:t>
      </w:r>
      <w:r>
        <w:rPr>
          <w:rFonts w:hint="eastAsia" w:ascii="方正仿宋_GBK" w:hAnsi="Times New Roman" w:eastAsia="方正仿宋_GBK" w:cs="Times New Roman"/>
          <w:color w:val="000000" w:themeColor="text1"/>
          <w:sz w:val="32"/>
          <w:szCs w:val="32"/>
          <w14:textFill>
            <w14:solidFill>
              <w14:schemeClr w14:val="tx1"/>
            </w14:solidFill>
          </w14:textFill>
        </w:rPr>
        <w:t>投</w:t>
      </w:r>
      <w:r>
        <w:rPr>
          <w:rFonts w:ascii="方正仿宋_GBK" w:hAnsi="Times New Roman" w:eastAsia="方正仿宋_GBK" w:cs="Times New Roman"/>
          <w:color w:val="000000" w:themeColor="text1"/>
          <w:sz w:val="32"/>
          <w:szCs w:val="32"/>
          <w14:textFill>
            <w14:solidFill>
              <w14:schemeClr w14:val="tx1"/>
            </w14:solidFill>
          </w14:textFill>
        </w:rPr>
        <w:t>标文件进行评标</w:t>
      </w:r>
      <w:r>
        <w:rPr>
          <w:rFonts w:hint="eastAsia" w:ascii="方正仿宋_GBK" w:hAnsi="Times New Roman" w:eastAsia="方正仿宋_GBK" w:cs="Times New Roman"/>
          <w:color w:val="000000" w:themeColor="text1"/>
          <w:sz w:val="32"/>
          <w:szCs w:val="32"/>
          <w14:textFill>
            <w14:solidFill>
              <w14:schemeClr w14:val="tx1"/>
            </w14:solidFill>
          </w14:textFill>
        </w:rPr>
        <w:t>）</w:t>
      </w:r>
      <w:r>
        <w:rPr>
          <w:rFonts w:ascii="方正仿宋_GBK" w:hAnsi="Times New Roman" w:eastAsia="方正仿宋_GBK" w:cs="Times New Roman"/>
          <w:color w:val="000000" w:themeColor="text1"/>
          <w:sz w:val="32"/>
          <w:szCs w:val="32"/>
          <w14:textFill>
            <w14:solidFill>
              <w14:schemeClr w14:val="tx1"/>
            </w14:solidFill>
          </w14:textFill>
        </w:rPr>
        <w:t>，</w:t>
      </w:r>
      <w:r>
        <w:rPr>
          <w:rFonts w:hint="eastAsia" w:ascii="方正仿宋_GBK" w:hAnsi="Times New Roman" w:eastAsia="方正仿宋_GBK" w:cs="Times New Roman"/>
          <w:color w:val="000000" w:themeColor="text1"/>
          <w:sz w:val="32"/>
          <w:szCs w:val="32"/>
          <w14:textFill>
            <w14:solidFill>
              <w14:schemeClr w14:val="tx1"/>
            </w14:solidFill>
          </w14:textFill>
        </w:rPr>
        <w:t>投标</w:t>
      </w:r>
      <w:r>
        <w:rPr>
          <w:rFonts w:ascii="方正仿宋_GBK" w:hAnsi="Times New Roman" w:eastAsia="方正仿宋_GBK" w:cs="Times New Roman"/>
          <w:color w:val="000000" w:themeColor="text1"/>
          <w:sz w:val="32"/>
          <w:szCs w:val="32"/>
          <w14:textFill>
            <w14:solidFill>
              <w14:schemeClr w14:val="tx1"/>
            </w14:solidFill>
          </w14:textFill>
        </w:rPr>
        <w:t>时还需</w:t>
      </w:r>
      <w:r>
        <w:rPr>
          <w:rFonts w:hint="eastAsia" w:ascii="方正仿宋_GBK" w:hAnsi="Times New Roman" w:eastAsia="方正仿宋_GBK" w:cs="Times New Roman"/>
          <w:color w:val="000000" w:themeColor="text1"/>
          <w:sz w:val="32"/>
          <w:szCs w:val="32"/>
          <w14:textFill>
            <w14:solidFill>
              <w14:schemeClr w14:val="tx1"/>
            </w14:solidFill>
          </w14:textFill>
        </w:rPr>
        <w:t>递交一个</w:t>
      </w:r>
      <w:r>
        <w:rPr>
          <w:rFonts w:hint="eastAsia" w:ascii="方正仿宋_GBK" w:hAnsi="Times New Roman" w:eastAsia="方正仿宋_GBK" w:cs="Times New Roman"/>
          <w:b/>
          <w:color w:val="000000" w:themeColor="text1"/>
          <w:sz w:val="32"/>
          <w:szCs w:val="32"/>
          <w14:textFill>
            <w14:solidFill>
              <w14:schemeClr w14:val="tx1"/>
            </w14:solidFill>
          </w14:textFill>
        </w:rPr>
        <w:t>装有签字盖章</w:t>
      </w:r>
      <w:r>
        <w:rPr>
          <w:rFonts w:ascii="方正仿宋_GBK" w:hAnsi="Times New Roman" w:eastAsia="方正仿宋_GBK" w:cs="Times New Roman"/>
          <w:b/>
          <w:color w:val="000000" w:themeColor="text1"/>
          <w:sz w:val="32"/>
          <w:szCs w:val="32"/>
          <w14:textFill>
            <w14:solidFill>
              <w14:schemeClr w14:val="tx1"/>
            </w14:solidFill>
          </w14:textFill>
        </w:rPr>
        <w:t>制作</w:t>
      </w:r>
      <w:r>
        <w:rPr>
          <w:rFonts w:hint="eastAsia" w:ascii="方正仿宋_GBK" w:hAnsi="Times New Roman" w:eastAsia="方正仿宋_GBK" w:cs="Times New Roman"/>
          <w:b/>
          <w:color w:val="000000" w:themeColor="text1"/>
          <w:sz w:val="32"/>
          <w:szCs w:val="32"/>
          <w14:textFill>
            <w14:solidFill>
              <w14:schemeClr w14:val="tx1"/>
            </w14:solidFill>
          </w14:textFill>
        </w:rPr>
        <w:t>完成</w:t>
      </w:r>
      <w:r>
        <w:rPr>
          <w:rFonts w:ascii="方正仿宋_GBK" w:hAnsi="Times New Roman" w:eastAsia="方正仿宋_GBK" w:cs="Times New Roman"/>
          <w:b/>
          <w:color w:val="000000" w:themeColor="text1"/>
          <w:sz w:val="32"/>
          <w:szCs w:val="32"/>
          <w14:textFill>
            <w14:solidFill>
              <w14:schemeClr w14:val="tx1"/>
            </w14:solidFill>
          </w14:textFill>
        </w:rPr>
        <w:t>的投标文件彩色扫描</w:t>
      </w:r>
      <w:r>
        <w:rPr>
          <w:rFonts w:hint="eastAsia" w:ascii="方正仿宋_GBK" w:hAnsi="Times New Roman" w:eastAsia="方正仿宋_GBK" w:cs="Times New Roman"/>
          <w:b/>
          <w:color w:val="000000" w:themeColor="text1"/>
          <w:sz w:val="32"/>
          <w:szCs w:val="32"/>
          <w14:textFill>
            <w14:solidFill>
              <w14:schemeClr w14:val="tx1"/>
            </w14:solidFill>
          </w14:textFill>
        </w:rPr>
        <w:t>件电子版U盘</w:t>
      </w:r>
      <w:r>
        <w:rPr>
          <w:rFonts w:hint="eastAsia" w:ascii="方正仿宋_GBK" w:hAnsi="Times New Roman" w:eastAsia="方正仿宋_GBK" w:cs="Times New Roman"/>
          <w:color w:val="000000" w:themeColor="text1"/>
          <w:sz w:val="32"/>
          <w:szCs w:val="32"/>
          <w14:textFill>
            <w14:solidFill>
              <w14:schemeClr w14:val="tx1"/>
            </w14:solidFill>
          </w14:textFill>
        </w:rPr>
        <w:t>（</w:t>
      </w:r>
      <w:r>
        <w:rPr>
          <w:rFonts w:hint="eastAsia" w:ascii="方正仿宋_GBK" w:hAnsi="Times New Roman" w:eastAsia="方正仿宋_GBK" w:cs="Times New Roman"/>
          <w:color w:val="000000" w:themeColor="text1"/>
          <w:sz w:val="32"/>
          <w:szCs w:val="32"/>
          <w:u w:val="single"/>
          <w14:textFill>
            <w14:solidFill>
              <w14:schemeClr w14:val="tx1"/>
            </w14:solidFill>
          </w14:textFill>
        </w:rPr>
        <w:t>扫描件内容须与纸质文件一致</w:t>
      </w:r>
      <w:r>
        <w:rPr>
          <w:rFonts w:hint="eastAsia" w:ascii="方正仿宋_GBK" w:hAnsi="Times New Roman" w:eastAsia="方正仿宋_GBK" w:cs="Times New Roman"/>
          <w:color w:val="000000" w:themeColor="text1"/>
          <w:sz w:val="32"/>
          <w:szCs w:val="32"/>
          <w14:textFill>
            <w14:solidFill>
              <w14:schemeClr w14:val="tx1"/>
            </w14:solidFill>
          </w14:textFill>
        </w:rPr>
        <w:t>）。</w:t>
      </w:r>
    </w:p>
    <w:p w14:paraId="0E5F44BA">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2、投</w:t>
      </w:r>
      <w:r>
        <w:rPr>
          <w:rFonts w:ascii="方正仿宋_GBK" w:hAnsi="Times New Roman" w:eastAsia="方正仿宋_GBK" w:cs="Times New Roman"/>
          <w:color w:val="000000" w:themeColor="text1"/>
          <w:sz w:val="32"/>
          <w:szCs w:val="32"/>
          <w14:textFill>
            <w14:solidFill>
              <w14:schemeClr w14:val="tx1"/>
            </w14:solidFill>
          </w14:textFill>
        </w:rPr>
        <w:t>标</w:t>
      </w:r>
      <w:r>
        <w:rPr>
          <w:rFonts w:hint="eastAsia" w:ascii="方正仿宋_GBK" w:hAnsi="Times New Roman" w:eastAsia="方正仿宋_GBK" w:cs="Times New Roman"/>
          <w:color w:val="000000" w:themeColor="text1"/>
          <w:sz w:val="32"/>
          <w:szCs w:val="32"/>
          <w14:textFill>
            <w14:solidFill>
              <w14:schemeClr w14:val="tx1"/>
            </w14:solidFill>
          </w14:textFill>
        </w:rPr>
        <w:t>文件应采用档案袋密封。封皮上注明“项目名称”、“投标人名称”字样。信封的封口应加盖公章或法人授权代表签字。</w:t>
      </w:r>
    </w:p>
    <w:p w14:paraId="1593E484">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（三）投</w:t>
      </w:r>
      <w:r>
        <w:rPr>
          <w:rFonts w:ascii="方正仿宋_GBK" w:hAnsi="Times New Roman" w:eastAsia="方正仿宋_GBK" w:cs="Times New Roman"/>
          <w:color w:val="000000" w:themeColor="text1"/>
          <w:sz w:val="32"/>
          <w:szCs w:val="32"/>
          <w14:textFill>
            <w14:solidFill>
              <w14:schemeClr w14:val="tx1"/>
            </w14:solidFill>
          </w14:textFill>
        </w:rPr>
        <w:t>标</w:t>
      </w:r>
      <w:r>
        <w:rPr>
          <w:rFonts w:hint="eastAsia" w:ascii="方正仿宋_GBK" w:hAnsi="Times New Roman" w:eastAsia="方正仿宋_GBK" w:cs="Times New Roman"/>
          <w:color w:val="000000" w:themeColor="text1"/>
          <w:sz w:val="32"/>
          <w:szCs w:val="32"/>
          <w14:textFill>
            <w14:solidFill>
              <w14:schemeClr w14:val="tx1"/>
            </w14:solidFill>
          </w14:textFill>
        </w:rPr>
        <w:t>文件的递交</w:t>
      </w:r>
    </w:p>
    <w:p w14:paraId="3733957C">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1、投标文件的递交时间：详竞争性谈判公告。</w:t>
      </w:r>
    </w:p>
    <w:p w14:paraId="0F9C89E4">
      <w:pPr>
        <w:spacing w:line="580" w:lineRule="exact"/>
        <w:ind w:firstLine="640" w:firstLineChars="200"/>
        <w:rPr>
          <w:rFonts w:ascii="方正仿宋_GBK" w:hAnsi="Times New Roman" w:eastAsia="方正仿宋_GBK" w:cs="Times New Roman"/>
          <w:sz w:val="32"/>
          <w:szCs w:val="32"/>
        </w:rPr>
      </w:pPr>
      <w:r>
        <w:rPr>
          <w:rFonts w:ascii="方正仿宋_GBK" w:hAnsi="Times New Roman" w:eastAsia="方正仿宋_GBK" w:cs="Times New Roman"/>
          <w:color w:val="000000" w:themeColor="text1"/>
          <w:sz w:val="32"/>
          <w:szCs w:val="32"/>
          <w14:textFill>
            <w14:solidFill>
              <w14:schemeClr w14:val="tx1"/>
            </w14:solidFill>
          </w14:textFill>
        </w:rPr>
        <w:t>2</w:t>
      </w:r>
      <w:r>
        <w:rPr>
          <w:rFonts w:hint="eastAsia" w:ascii="方正仿宋_GBK" w:hAnsi="Times New Roman" w:eastAsia="方正仿宋_GBK" w:cs="Times New Roman"/>
          <w:color w:val="000000" w:themeColor="text1"/>
          <w:sz w:val="32"/>
          <w:szCs w:val="32"/>
          <w14:textFill>
            <w14:solidFill>
              <w14:schemeClr w14:val="tx1"/>
            </w14:solidFill>
          </w14:textFill>
        </w:rPr>
        <w:t>、递交地点</w:t>
      </w:r>
      <w:r>
        <w:rPr>
          <w:rFonts w:ascii="方正仿宋_GBK" w:hAnsi="Times New Roman" w:eastAsia="方正仿宋_GBK" w:cs="Times New Roman"/>
          <w:color w:val="000000" w:themeColor="text1"/>
          <w:sz w:val="32"/>
          <w:szCs w:val="32"/>
          <w14:textFill>
            <w14:solidFill>
              <w14:schemeClr w14:val="tx1"/>
            </w14:solidFill>
          </w14:textFill>
        </w:rPr>
        <w:t>：</w:t>
      </w:r>
      <w:r>
        <w:rPr>
          <w:rFonts w:hint="eastAsia" w:eastAsia="方正仿宋_GBK"/>
          <w:sz w:val="32"/>
          <w:szCs w:val="32"/>
        </w:rPr>
        <w:t>重庆九龙现代产业发展集团有限公司</w:t>
      </w:r>
      <w:r>
        <w:rPr>
          <w:rFonts w:hint="eastAsia" w:ascii="方正仿宋_GBK" w:hAnsi="Times New Roman" w:eastAsia="方正仿宋_GBK" w:cs="Times New Roman"/>
          <w:sz w:val="32"/>
          <w:szCs w:val="32"/>
        </w:rPr>
        <w:t>207招标采购部。</w:t>
      </w:r>
    </w:p>
    <w:p w14:paraId="6F461747">
      <w:pPr>
        <w:spacing w:line="580" w:lineRule="exact"/>
        <w:ind w:firstLine="640" w:firstLineChars="200"/>
        <w:rPr>
          <w:rFonts w:ascii="方正仿宋_GBK" w:hAnsi="Times New Roman" w:eastAsia="方正仿宋_GBK" w:cs="Times New Roman"/>
          <w:sz w:val="32"/>
          <w:szCs w:val="32"/>
        </w:rPr>
      </w:pPr>
      <w:r>
        <w:rPr>
          <w:rFonts w:hint="eastAsia" w:ascii="方正仿宋_GBK" w:hAnsi="Times New Roman" w:eastAsia="方正仿宋_GBK" w:cs="Times New Roman"/>
          <w:sz w:val="32"/>
          <w:szCs w:val="32"/>
        </w:rPr>
        <w:t>3、投标截止时间：详竞争性谈判公告。</w:t>
      </w:r>
    </w:p>
    <w:p w14:paraId="714CE12F">
      <w:pPr>
        <w:spacing w:line="580" w:lineRule="exact"/>
        <w:ind w:firstLine="1132" w:firstLineChars="354"/>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开标时间：详竞争性谈判公告。</w:t>
      </w:r>
    </w:p>
    <w:p w14:paraId="72EDF44A">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ascii="方正仿宋_GBK" w:hAnsi="Times New Roman" w:eastAsia="方正仿宋_GBK" w:cs="Times New Roman"/>
          <w:color w:val="000000" w:themeColor="text1"/>
          <w:sz w:val="32"/>
          <w:szCs w:val="32"/>
          <w14:textFill>
            <w14:solidFill>
              <w14:schemeClr w14:val="tx1"/>
            </w14:solidFill>
          </w14:textFill>
        </w:rPr>
        <w:t>4</w:t>
      </w:r>
      <w:r>
        <w:rPr>
          <w:rFonts w:hint="eastAsia" w:ascii="方正仿宋_GBK" w:hAnsi="Times New Roman" w:eastAsia="方正仿宋_GBK" w:cs="Times New Roman"/>
          <w:color w:val="000000" w:themeColor="text1"/>
          <w:sz w:val="32"/>
          <w:szCs w:val="32"/>
          <w14:textFill>
            <w14:solidFill>
              <w14:schemeClr w14:val="tx1"/>
            </w14:solidFill>
          </w14:textFill>
        </w:rPr>
        <w:t>、投标截止时间后送达的投标文件招标人不予受理；未收到邀请的投标文件招标人不予接受。</w:t>
      </w:r>
    </w:p>
    <w:p w14:paraId="70A64A9C">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（四）谈判参与人员</w:t>
      </w:r>
    </w:p>
    <w:p w14:paraId="0BDE2129">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各个投标人应当派1-</w:t>
      </w:r>
      <w:r>
        <w:rPr>
          <w:rFonts w:ascii="方正仿宋_GBK" w:hAnsi="Times New Roman" w:eastAsia="方正仿宋_GBK" w:cs="Times New Roman"/>
          <w:color w:val="000000" w:themeColor="text1"/>
          <w:sz w:val="32"/>
          <w:szCs w:val="32"/>
          <w14:textFill>
            <w14:solidFill>
              <w14:schemeClr w14:val="tx1"/>
            </w14:solidFill>
          </w14:textFill>
        </w:rPr>
        <w:t>2</w:t>
      </w:r>
      <w:r>
        <w:rPr>
          <w:rFonts w:hint="eastAsia" w:ascii="方正仿宋_GBK" w:hAnsi="Times New Roman" w:eastAsia="方正仿宋_GBK" w:cs="Times New Roman"/>
          <w:color w:val="000000" w:themeColor="text1"/>
          <w:sz w:val="32"/>
          <w:szCs w:val="32"/>
          <w14:textFill>
            <w14:solidFill>
              <w14:schemeClr w14:val="tx1"/>
            </w14:solidFill>
          </w14:textFill>
        </w:rPr>
        <w:t>名代表参与，至少1人应为法定代表人或具有法定代表人授权委托书的授权代表。</w:t>
      </w:r>
    </w:p>
    <w:p w14:paraId="034E3FAC">
      <w:pPr>
        <w:spacing w:line="580" w:lineRule="exact"/>
        <w:ind w:firstLine="640" w:firstLineChars="200"/>
        <w:rPr>
          <w:rFonts w:ascii="方正黑体_GBK" w:hAnsi="Times New Roman" w:eastAsia="方正黑体_GBK" w:cs="Times New Roman"/>
          <w:color w:val="000000" w:themeColor="text1"/>
          <w:sz w:val="32"/>
          <w:szCs w:val="32"/>
          <w14:textFill>
            <w14:solidFill>
              <w14:schemeClr w14:val="tx1"/>
            </w14:solidFill>
          </w14:textFill>
        </w:rPr>
      </w:pPr>
      <w:r>
        <w:rPr>
          <w:rFonts w:hint="eastAsia" w:ascii="方正黑体_GBK" w:hAnsi="Times New Roman" w:eastAsia="方正黑体_GBK" w:cs="Times New Roman"/>
          <w:color w:val="000000" w:themeColor="text1"/>
          <w:sz w:val="32"/>
          <w:szCs w:val="32"/>
          <w14:textFill>
            <w14:solidFill>
              <w14:schemeClr w14:val="tx1"/>
            </w14:solidFill>
          </w14:textFill>
        </w:rPr>
        <w:t>九、谈判程序及方法</w:t>
      </w:r>
    </w:p>
    <w:p w14:paraId="528800A0">
      <w:pPr>
        <w:spacing w:line="580" w:lineRule="exact"/>
        <w:ind w:firstLine="640" w:firstLineChars="200"/>
        <w:rPr>
          <w:rFonts w:ascii="方正楷体_GBK" w:hAnsi="Times New Roman" w:eastAsia="方正楷体_GBK" w:cs="Times New Roman"/>
          <w:color w:val="000000"/>
          <w:sz w:val="32"/>
          <w:szCs w:val="32"/>
        </w:rPr>
      </w:pPr>
      <w:r>
        <w:rPr>
          <w:rFonts w:hint="eastAsia" w:ascii="方正楷体_GBK" w:hAnsi="Times New Roman" w:eastAsia="方正楷体_GBK" w:cs="Times New Roman"/>
          <w:color w:val="000000"/>
          <w:sz w:val="32"/>
          <w:szCs w:val="32"/>
        </w:rPr>
        <w:t>（一）谈判程序</w:t>
      </w:r>
    </w:p>
    <w:p w14:paraId="28ACD842">
      <w:pPr>
        <w:spacing w:line="360" w:lineRule="auto"/>
        <w:ind w:firstLine="320"/>
        <w:rPr>
          <w:rFonts w:ascii="方正仿宋_GBK" w:hAnsi="宋体" w:eastAsia="方正仿宋_GBK" w:cs="Times New Roman"/>
          <w:sz w:val="32"/>
          <w:szCs w:val="32"/>
        </w:rPr>
      </w:pPr>
      <w:r>
        <w:rPr>
          <w:rFonts w:hint="eastAsia" w:ascii="方正仿宋_GBK" w:hAnsi="宋体" w:eastAsia="方正仿宋_GBK" w:cs="Times New Roman"/>
          <w:sz w:val="32"/>
          <w:szCs w:val="32"/>
        </w:rPr>
        <w:t xml:space="preserve"> </w:t>
      </w:r>
      <w:r>
        <w:rPr>
          <w:rFonts w:ascii="方正仿宋_GBK" w:hAnsi="宋体" w:eastAsia="方正仿宋_GBK" w:cs="Times New Roman"/>
          <w:sz w:val="32"/>
          <w:szCs w:val="32"/>
        </w:rPr>
        <w:t xml:space="preserve"> 1.</w:t>
      </w:r>
      <w:r>
        <w:rPr>
          <w:rFonts w:hint="eastAsia" w:ascii="方正仿宋_GBK" w:hAnsi="宋体" w:eastAsia="方正仿宋_GBK" w:cs="Times New Roman"/>
          <w:sz w:val="32"/>
          <w:szCs w:val="32"/>
        </w:rPr>
        <w:t xml:space="preserve"> </w:t>
      </w:r>
      <w:r>
        <w:rPr>
          <w:rFonts w:ascii="方正仿宋_GBK" w:hAnsi="宋体" w:eastAsia="方正仿宋_GBK" w:cs="Times New Roman"/>
          <w:sz w:val="32"/>
          <w:szCs w:val="32"/>
        </w:rPr>
        <w:t>投标人签到</w:t>
      </w:r>
      <w:r>
        <w:rPr>
          <w:rFonts w:hint="eastAsia" w:ascii="方正仿宋_GBK" w:hAnsi="宋体" w:eastAsia="方正仿宋_GBK" w:cs="Times New Roman"/>
          <w:sz w:val="32"/>
          <w:szCs w:val="32"/>
        </w:rPr>
        <w:t>。</w:t>
      </w:r>
    </w:p>
    <w:p w14:paraId="50BAB956">
      <w:pPr>
        <w:spacing w:line="360" w:lineRule="auto"/>
        <w:ind w:firstLine="320"/>
        <w:rPr>
          <w:rFonts w:ascii="方正仿宋_GBK" w:hAnsi="宋体" w:eastAsia="方正仿宋_GBK" w:cs="Times New Roman"/>
          <w:sz w:val="32"/>
          <w:szCs w:val="32"/>
        </w:rPr>
      </w:pPr>
      <w:r>
        <w:rPr>
          <w:rFonts w:hint="eastAsia" w:ascii="方正仿宋_GBK" w:hAnsi="宋体" w:eastAsia="方正仿宋_GBK" w:cs="Times New Roman"/>
          <w:sz w:val="32"/>
          <w:szCs w:val="32"/>
        </w:rPr>
        <w:t xml:space="preserve"> </w:t>
      </w:r>
      <w:r>
        <w:rPr>
          <w:rFonts w:ascii="方正仿宋_GBK" w:hAnsi="宋体" w:eastAsia="方正仿宋_GBK" w:cs="Times New Roman"/>
          <w:sz w:val="32"/>
          <w:szCs w:val="32"/>
        </w:rPr>
        <w:t xml:space="preserve"> 2.</w:t>
      </w:r>
      <w:r>
        <w:rPr>
          <w:rFonts w:hint="eastAsia" w:ascii="方正仿宋_GBK" w:hAnsi="宋体" w:eastAsia="方正仿宋_GBK" w:cs="Times New Roman"/>
          <w:sz w:val="32"/>
          <w:szCs w:val="32"/>
        </w:rPr>
        <w:t xml:space="preserve"> 宣布谈判纪律，公布在投标截止时间前递交投标文件的投标人名称。</w:t>
      </w:r>
    </w:p>
    <w:p w14:paraId="3CF6A009">
      <w:pPr>
        <w:spacing w:line="360" w:lineRule="auto"/>
        <w:ind w:firstLine="320"/>
        <w:rPr>
          <w:rFonts w:ascii="方正仿宋_GBK" w:hAnsi="宋体" w:eastAsia="方正仿宋_GBK" w:cs="Times New Roman"/>
          <w:sz w:val="32"/>
          <w:szCs w:val="32"/>
        </w:rPr>
      </w:pPr>
      <w:r>
        <w:rPr>
          <w:rFonts w:hint="eastAsia" w:ascii="方正仿宋_GBK" w:hAnsi="宋体" w:eastAsia="方正仿宋_GBK" w:cs="Times New Roman"/>
          <w:sz w:val="32"/>
          <w:szCs w:val="32"/>
        </w:rPr>
        <w:t xml:space="preserve"> </w:t>
      </w:r>
      <w:r>
        <w:rPr>
          <w:rFonts w:ascii="方正仿宋_GBK" w:hAnsi="宋体" w:eastAsia="方正仿宋_GBK" w:cs="Times New Roman"/>
          <w:sz w:val="32"/>
          <w:szCs w:val="32"/>
        </w:rPr>
        <w:t xml:space="preserve"> 3.</w:t>
      </w:r>
      <w:r>
        <w:rPr>
          <w:rFonts w:hint="eastAsia" w:ascii="方正仿宋_GBK" w:hAnsi="宋体" w:eastAsia="方正仿宋_GBK" w:cs="Times New Roman"/>
          <w:sz w:val="32"/>
          <w:szCs w:val="32"/>
        </w:rPr>
        <w:t xml:space="preserve"> 检查投标文件的密封情况。</w:t>
      </w:r>
    </w:p>
    <w:p w14:paraId="1469B6E7">
      <w:pPr>
        <w:spacing w:line="360" w:lineRule="auto"/>
        <w:ind w:firstLine="320"/>
        <w:rPr>
          <w:rFonts w:ascii="方正仿宋_GBK" w:hAnsi="宋体" w:eastAsia="方正仿宋_GBK" w:cs="Times New Roman"/>
          <w:sz w:val="32"/>
          <w:szCs w:val="32"/>
        </w:rPr>
      </w:pPr>
      <w:r>
        <w:rPr>
          <w:rFonts w:hint="eastAsia" w:ascii="方正仿宋_GBK" w:hAnsi="宋体" w:eastAsia="方正仿宋_GBK" w:cs="Times New Roman"/>
          <w:sz w:val="32"/>
          <w:szCs w:val="32"/>
        </w:rPr>
        <w:t xml:space="preserve"> </w:t>
      </w:r>
      <w:r>
        <w:rPr>
          <w:rFonts w:ascii="方正仿宋_GBK" w:hAnsi="宋体" w:eastAsia="方正仿宋_GBK" w:cs="Times New Roman"/>
          <w:sz w:val="32"/>
          <w:szCs w:val="32"/>
        </w:rPr>
        <w:t xml:space="preserve"> 4.</w:t>
      </w:r>
      <w:r>
        <w:rPr>
          <w:rFonts w:hint="eastAsia" w:ascii="方正仿宋_GBK" w:hAnsi="宋体" w:eastAsia="方正仿宋_GBK" w:cs="Times New Roman"/>
          <w:sz w:val="32"/>
          <w:szCs w:val="32"/>
        </w:rPr>
        <w:t xml:space="preserve"> 逐单位随机开启投标文件，公布投标人名称、投标报价及其他内容，并记录在表格上并由投标人确认签字。因投标人个人原因未签字确认，视为默认开标记录。</w:t>
      </w:r>
    </w:p>
    <w:p w14:paraId="09D00720">
      <w:pPr>
        <w:spacing w:line="360" w:lineRule="auto"/>
        <w:ind w:firstLine="320"/>
        <w:rPr>
          <w:rFonts w:ascii="方正仿宋_GBK" w:hAnsi="宋体" w:eastAsia="方正仿宋_GBK" w:cs="Times New Roman"/>
          <w:sz w:val="32"/>
          <w:szCs w:val="32"/>
        </w:rPr>
      </w:pPr>
      <w:r>
        <w:rPr>
          <w:rFonts w:ascii="方正仿宋_GBK" w:hAnsi="宋体" w:eastAsia="方正仿宋_GBK" w:cs="Times New Roman"/>
          <w:sz w:val="32"/>
          <w:szCs w:val="32"/>
        </w:rPr>
        <w:t xml:space="preserve">  5.</w:t>
      </w:r>
      <w:r>
        <w:rPr>
          <w:rFonts w:hint="eastAsia" w:ascii="宋体" w:hAnsi="宋体" w:eastAsia="仿宋_GB2312" w:cs="Times New Roman"/>
          <w:sz w:val="24"/>
          <w:szCs w:val="20"/>
        </w:rPr>
        <w:t xml:space="preserve"> </w:t>
      </w:r>
      <w:r>
        <w:rPr>
          <w:rFonts w:hint="eastAsia" w:ascii="方正仿宋_GBK" w:hAnsi="宋体" w:eastAsia="方正仿宋_GBK" w:cs="Times New Roman"/>
          <w:sz w:val="32"/>
          <w:szCs w:val="32"/>
        </w:rPr>
        <w:t>评标小组对所有投标人投标总价进行评审。总报价高于最高限价的，不进入报价排序；总报价低于最高限价的按报价</w:t>
      </w:r>
      <w:r>
        <w:rPr>
          <w:rFonts w:hint="eastAsia" w:ascii="方正仿宋_GBK" w:hAnsi="宋体" w:eastAsia="方正仿宋_GBK" w:cs="Times New Roman"/>
          <w:b/>
          <w:sz w:val="32"/>
          <w:szCs w:val="32"/>
        </w:rPr>
        <w:t>由低到高</w:t>
      </w:r>
      <w:r>
        <w:rPr>
          <w:rFonts w:hint="eastAsia" w:ascii="方正仿宋_GBK" w:hAnsi="宋体" w:eastAsia="方正仿宋_GBK" w:cs="Times New Roman"/>
          <w:sz w:val="32"/>
          <w:szCs w:val="32"/>
        </w:rPr>
        <w:t>的顺序进行排序。</w:t>
      </w:r>
    </w:p>
    <w:p w14:paraId="53368BAD">
      <w:pPr>
        <w:spacing w:line="360" w:lineRule="auto"/>
        <w:ind w:firstLine="320"/>
        <w:rPr>
          <w:rFonts w:ascii="方正仿宋_GBK" w:hAnsi="宋体" w:eastAsia="方正仿宋_GBK" w:cs="Times New Roman"/>
          <w:sz w:val="32"/>
          <w:szCs w:val="32"/>
        </w:rPr>
      </w:pPr>
      <w:r>
        <w:rPr>
          <w:rFonts w:hint="eastAsia" w:ascii="方正仿宋_GBK" w:hAnsi="宋体" w:eastAsia="方正仿宋_GBK" w:cs="Times New Roman"/>
          <w:sz w:val="32"/>
          <w:szCs w:val="32"/>
        </w:rPr>
        <w:t xml:space="preserve"> </w:t>
      </w:r>
      <w:r>
        <w:rPr>
          <w:rFonts w:ascii="方正仿宋_GBK" w:hAnsi="宋体" w:eastAsia="方正仿宋_GBK" w:cs="Times New Roman"/>
          <w:sz w:val="32"/>
          <w:szCs w:val="32"/>
        </w:rPr>
        <w:t xml:space="preserve"> 6.</w:t>
      </w:r>
      <w:r>
        <w:rPr>
          <w:rFonts w:hint="eastAsia" w:ascii="宋体" w:hAnsi="宋体" w:eastAsia="仿宋_GB2312" w:cs="Times New Roman"/>
          <w:sz w:val="24"/>
          <w:szCs w:val="20"/>
        </w:rPr>
        <w:t xml:space="preserve"> </w:t>
      </w:r>
      <w:r>
        <w:rPr>
          <w:rFonts w:hint="eastAsia" w:ascii="方正仿宋_GBK" w:hAnsi="宋体" w:eastAsia="方正仿宋_GBK" w:cs="Times New Roman"/>
          <w:sz w:val="32"/>
          <w:szCs w:val="32"/>
        </w:rPr>
        <w:t>评标小组按前述报价排序由低到高依次对投标人的资格条件进行资格性、符合性审查。</w:t>
      </w:r>
    </w:p>
    <w:p w14:paraId="11030509">
      <w:pPr>
        <w:spacing w:line="360" w:lineRule="auto"/>
        <w:ind w:firstLine="320"/>
        <w:rPr>
          <w:rFonts w:ascii="方正仿宋_GBK" w:hAnsi="宋体" w:eastAsia="方正仿宋_GBK" w:cs="Times New Roman"/>
          <w:sz w:val="32"/>
          <w:szCs w:val="32"/>
        </w:rPr>
      </w:pPr>
      <w:r>
        <w:rPr>
          <w:rFonts w:hint="eastAsia" w:ascii="方正仿宋_GBK" w:hAnsi="宋体" w:eastAsia="方正仿宋_GBK" w:cs="Times New Roman"/>
          <w:sz w:val="32"/>
          <w:szCs w:val="32"/>
        </w:rPr>
        <w:t xml:space="preserve"> </w:t>
      </w:r>
      <w:r>
        <w:rPr>
          <w:rFonts w:ascii="方正仿宋_GBK" w:hAnsi="宋体" w:eastAsia="方正仿宋_GBK" w:cs="Times New Roman"/>
          <w:sz w:val="32"/>
          <w:szCs w:val="32"/>
        </w:rPr>
        <w:t xml:space="preserve"> 7.</w:t>
      </w:r>
      <w:r>
        <w:rPr>
          <w:rFonts w:hint="eastAsia" w:ascii="宋体" w:hAnsi="宋体" w:eastAsia="仿宋_GB2312" w:cs="Times New Roman"/>
          <w:sz w:val="24"/>
          <w:szCs w:val="20"/>
        </w:rPr>
        <w:t xml:space="preserve"> </w:t>
      </w:r>
      <w:r>
        <w:rPr>
          <w:rFonts w:hint="eastAsia" w:ascii="方正仿宋_GBK" w:hAnsi="宋体" w:eastAsia="方正仿宋_GBK" w:cs="Times New Roman"/>
          <w:sz w:val="32"/>
          <w:szCs w:val="32"/>
        </w:rPr>
        <w:t>若排名第一的投标人资格性、符合性审查合格，则排名第一的投标人为中标人；若排名第一的投标人资格性、符合性审查不合格，且排名第二的投标人资格性、符合性审查合格，则排名第二的投标人为中标人，以此类推，直至选出合格中标人。</w:t>
      </w:r>
    </w:p>
    <w:p w14:paraId="26B0643F">
      <w:pPr>
        <w:spacing w:line="580" w:lineRule="exact"/>
        <w:ind w:firstLine="643" w:firstLineChars="200"/>
        <w:rPr>
          <w:rFonts w:ascii="方正仿宋_GBK" w:hAnsi="Times New Roman" w:eastAsia="方正仿宋_GBK" w:cs="Times New Roman"/>
          <w:color w:val="000000"/>
          <w:sz w:val="32"/>
          <w:szCs w:val="32"/>
        </w:rPr>
      </w:pPr>
      <w:r>
        <w:rPr>
          <w:rFonts w:hint="eastAsia" w:ascii="方正仿宋_GBK" w:hAnsi="Times New Roman" w:eastAsia="方正仿宋_GBK" w:cs="Times New Roman"/>
          <w:b/>
          <w:color w:val="000000"/>
          <w:sz w:val="32"/>
          <w:szCs w:val="32"/>
        </w:rPr>
        <w:t>注：</w:t>
      </w:r>
      <w:r>
        <w:rPr>
          <w:rFonts w:hint="eastAsia" w:ascii="方正仿宋_GBK" w:hAnsi="Times New Roman" w:eastAsia="方正仿宋_GBK" w:cs="Times New Roman"/>
          <w:color w:val="000000"/>
          <w:sz w:val="32"/>
          <w:szCs w:val="32"/>
        </w:rPr>
        <w:t>投标</w:t>
      </w:r>
      <w:r>
        <w:rPr>
          <w:rFonts w:ascii="方正仿宋_GBK" w:hAnsi="Times New Roman" w:eastAsia="方正仿宋_GBK" w:cs="Times New Roman"/>
          <w:color w:val="000000"/>
          <w:sz w:val="32"/>
          <w:szCs w:val="32"/>
        </w:rPr>
        <w:t>人应按</w:t>
      </w:r>
      <w:r>
        <w:rPr>
          <w:rFonts w:hint="eastAsia" w:ascii="方正仿宋_GBK" w:hAnsi="Times New Roman" w:eastAsia="方正仿宋_GBK" w:cs="Times New Roman"/>
          <w:color w:val="000000"/>
          <w:sz w:val="32"/>
          <w:szCs w:val="32"/>
        </w:rPr>
        <w:t>邀请谈判公告规定的时间和地点参加</w:t>
      </w:r>
      <w:r>
        <w:rPr>
          <w:rFonts w:ascii="方正仿宋_GBK" w:hAnsi="Times New Roman" w:eastAsia="方正仿宋_GBK" w:cs="Times New Roman"/>
          <w:color w:val="000000"/>
          <w:sz w:val="32"/>
          <w:szCs w:val="32"/>
        </w:rPr>
        <w:t>谈判</w:t>
      </w:r>
      <w:r>
        <w:rPr>
          <w:rFonts w:hint="eastAsia" w:ascii="方正仿宋_GBK" w:hAnsi="Times New Roman" w:eastAsia="方正仿宋_GBK" w:cs="Times New Roman"/>
          <w:color w:val="000000"/>
          <w:sz w:val="32"/>
          <w:szCs w:val="32"/>
        </w:rPr>
        <w:t>并签到，否</w:t>
      </w:r>
      <w:r>
        <w:rPr>
          <w:rFonts w:ascii="方正仿宋_GBK" w:hAnsi="Times New Roman" w:eastAsia="方正仿宋_GBK" w:cs="Times New Roman"/>
          <w:color w:val="000000"/>
          <w:sz w:val="32"/>
          <w:szCs w:val="32"/>
        </w:rPr>
        <w:t>则</w:t>
      </w:r>
      <w:r>
        <w:rPr>
          <w:rFonts w:hint="eastAsia" w:ascii="方正仿宋_GBK" w:hAnsi="Times New Roman" w:eastAsia="方正仿宋_GBK" w:cs="Times New Roman"/>
          <w:color w:val="000000"/>
          <w:sz w:val="32"/>
          <w:szCs w:val="32"/>
        </w:rPr>
        <w:t>其投</w:t>
      </w:r>
      <w:r>
        <w:rPr>
          <w:rFonts w:ascii="方正仿宋_GBK" w:hAnsi="Times New Roman" w:eastAsia="方正仿宋_GBK" w:cs="Times New Roman"/>
          <w:color w:val="000000"/>
          <w:sz w:val="32"/>
          <w:szCs w:val="32"/>
        </w:rPr>
        <w:t>标文件</w:t>
      </w:r>
      <w:r>
        <w:rPr>
          <w:rFonts w:hint="eastAsia" w:ascii="方正仿宋_GBK" w:hAnsi="Times New Roman" w:eastAsia="方正仿宋_GBK" w:cs="Times New Roman"/>
          <w:color w:val="000000"/>
          <w:sz w:val="32"/>
          <w:szCs w:val="32"/>
        </w:rPr>
        <w:t>不</w:t>
      </w:r>
      <w:r>
        <w:rPr>
          <w:rFonts w:ascii="方正仿宋_GBK" w:hAnsi="Times New Roman" w:eastAsia="方正仿宋_GBK" w:cs="Times New Roman"/>
          <w:color w:val="000000"/>
          <w:sz w:val="32"/>
          <w:szCs w:val="32"/>
        </w:rPr>
        <w:t>得参与谈判。</w:t>
      </w:r>
    </w:p>
    <w:p w14:paraId="4280F6A1">
      <w:pPr>
        <w:spacing w:line="360" w:lineRule="auto"/>
        <w:ind w:firstLine="640" w:firstLineChars="200"/>
        <w:rPr>
          <w:rFonts w:ascii="方正楷体_GBK" w:hAnsi="宋体" w:eastAsia="方正楷体_GBK" w:cs="Times New Roman"/>
          <w:sz w:val="32"/>
          <w:szCs w:val="32"/>
        </w:rPr>
      </w:pPr>
      <w:r>
        <w:rPr>
          <w:rFonts w:hint="eastAsia" w:ascii="方正楷体_GBK" w:hAnsi="宋体" w:eastAsia="方正楷体_GBK" w:cs="Times New Roman"/>
          <w:sz w:val="32"/>
          <w:szCs w:val="32"/>
        </w:rPr>
        <w:t>（二）谈判方法</w:t>
      </w:r>
    </w:p>
    <w:p w14:paraId="50B1AE91">
      <w:pPr>
        <w:spacing w:line="360" w:lineRule="auto"/>
        <w:ind w:firstLine="640" w:firstLineChars="200"/>
        <w:rPr>
          <w:rFonts w:ascii="方正仿宋_GBK" w:hAnsi="宋体" w:eastAsia="方正仿宋_GBK" w:cs="Times New Roman"/>
          <w:sz w:val="32"/>
          <w:szCs w:val="32"/>
        </w:rPr>
      </w:pPr>
      <w:r>
        <w:rPr>
          <w:rFonts w:hint="eastAsia" w:ascii="方正仿宋_GBK" w:hAnsi="宋体" w:eastAsia="方正仿宋_GBK" w:cs="Times New Roman"/>
          <w:sz w:val="32"/>
          <w:szCs w:val="32"/>
        </w:rPr>
        <w:t>（1）评标</w:t>
      </w:r>
      <w:r>
        <w:rPr>
          <w:rFonts w:hint="eastAsia" w:ascii="方正仿宋_GBK" w:hAnsi="Times New Roman" w:eastAsia="方正仿宋_GBK" w:cs="Times New Roman"/>
          <w:color w:val="000000"/>
          <w:sz w:val="32"/>
          <w:szCs w:val="32"/>
        </w:rPr>
        <w:t>小组</w:t>
      </w:r>
      <w:r>
        <w:rPr>
          <w:rFonts w:hint="eastAsia" w:ascii="方正仿宋_GBK" w:hAnsi="宋体" w:eastAsia="方正仿宋_GBK" w:cs="Times New Roman"/>
          <w:sz w:val="32"/>
          <w:szCs w:val="32"/>
        </w:rPr>
        <w:t>的组建</w:t>
      </w:r>
    </w:p>
    <w:p w14:paraId="48322D13">
      <w:pPr>
        <w:spacing w:line="580" w:lineRule="exact"/>
        <w:ind w:firstLine="640" w:firstLineChars="200"/>
        <w:rPr>
          <w:rFonts w:ascii="方正仿宋_GBK" w:hAnsi="Times New Roman" w:eastAsia="方正仿宋_GBK" w:cs="Times New Roman"/>
          <w:sz w:val="32"/>
          <w:szCs w:val="32"/>
        </w:rPr>
      </w:pPr>
      <w:r>
        <w:rPr>
          <w:rFonts w:hint="eastAsia" w:ascii="方正仿宋_GBK" w:hAnsi="Times New Roman" w:eastAsia="方正仿宋_GBK" w:cs="Times New Roman"/>
          <w:sz w:val="32"/>
          <w:szCs w:val="32"/>
        </w:rPr>
        <w:t>由招标人按法律法规及相关规定依法组建评标</w:t>
      </w:r>
      <w:r>
        <w:rPr>
          <w:rFonts w:hint="eastAsia" w:ascii="方正仿宋_GBK" w:hAnsi="Times New Roman" w:eastAsia="方正仿宋_GBK" w:cs="Times New Roman"/>
          <w:color w:val="000000"/>
          <w:sz w:val="32"/>
          <w:szCs w:val="32"/>
        </w:rPr>
        <w:t>小组</w:t>
      </w:r>
      <w:r>
        <w:rPr>
          <w:rFonts w:hint="eastAsia" w:ascii="方正仿宋_GBK" w:hAnsi="Times New Roman" w:eastAsia="方正仿宋_GBK" w:cs="Times New Roman"/>
          <w:sz w:val="32"/>
          <w:szCs w:val="32"/>
        </w:rPr>
        <w:t>。</w:t>
      </w:r>
    </w:p>
    <w:p w14:paraId="0BD99314">
      <w:pPr>
        <w:spacing w:line="580" w:lineRule="exact"/>
        <w:ind w:firstLine="640" w:firstLineChars="200"/>
        <w:rPr>
          <w:rFonts w:ascii="方正仿宋_GBK" w:hAnsi="Times New Roman" w:eastAsia="方正仿宋_GBK" w:cs="Times New Roman"/>
          <w:sz w:val="32"/>
          <w:szCs w:val="32"/>
        </w:rPr>
      </w:pPr>
      <w:r>
        <w:rPr>
          <w:rFonts w:hint="eastAsia" w:ascii="方正仿宋_GBK" w:hAnsi="Times New Roman" w:eastAsia="方正仿宋_GBK" w:cs="Times New Roman"/>
          <w:sz w:val="32"/>
          <w:szCs w:val="32"/>
        </w:rPr>
        <w:t>（2）评标办法</w:t>
      </w:r>
    </w:p>
    <w:p w14:paraId="1D2B8EB3">
      <w:pPr>
        <w:spacing w:line="580" w:lineRule="exact"/>
        <w:ind w:firstLine="640" w:firstLineChars="200"/>
        <w:rPr>
          <w:rFonts w:ascii="方正仿宋_GBK" w:hAnsi="Times New Roman" w:eastAsia="方正仿宋_GBK" w:cs="Times New Roman"/>
          <w:sz w:val="32"/>
          <w:szCs w:val="32"/>
        </w:rPr>
      </w:pPr>
      <w:r>
        <w:rPr>
          <w:rFonts w:hint="eastAsia" w:ascii="方正仿宋_GBK" w:hAnsi="Times New Roman" w:eastAsia="方正仿宋_GBK" w:cs="Times New Roman"/>
          <w:sz w:val="32"/>
          <w:szCs w:val="32"/>
        </w:rPr>
        <w:t>1</w:t>
      </w:r>
      <w:r>
        <w:rPr>
          <w:rFonts w:ascii="方正仿宋_GBK" w:hAnsi="Times New Roman" w:eastAsia="方正仿宋_GBK" w:cs="Times New Roman"/>
          <w:sz w:val="32"/>
          <w:szCs w:val="32"/>
        </w:rPr>
        <w:t>.</w:t>
      </w:r>
      <w:r>
        <w:rPr>
          <w:rFonts w:hint="eastAsia" w:ascii="方正仿宋_GBK" w:hAnsi="Times New Roman" w:eastAsia="方正仿宋_GBK" w:cs="Times New Roman"/>
          <w:sz w:val="32"/>
          <w:szCs w:val="32"/>
        </w:rPr>
        <w:t>本工程采用</w:t>
      </w:r>
      <w:r>
        <w:rPr>
          <w:rFonts w:hint="eastAsia" w:ascii="方正仿宋_GBK" w:hAnsi="Times New Roman" w:eastAsia="方正仿宋_GBK" w:cs="Times New Roman"/>
          <w:b/>
          <w:sz w:val="32"/>
          <w:szCs w:val="32"/>
        </w:rPr>
        <w:t>经评审的最低价法</w:t>
      </w:r>
      <w:r>
        <w:rPr>
          <w:rFonts w:hint="eastAsia" w:ascii="方正仿宋_GBK" w:hAnsi="Times New Roman" w:eastAsia="方正仿宋_GBK" w:cs="Times New Roman"/>
          <w:sz w:val="32"/>
          <w:szCs w:val="32"/>
        </w:rPr>
        <w:t>。</w:t>
      </w:r>
    </w:p>
    <w:p w14:paraId="10FF0D79">
      <w:pPr>
        <w:spacing w:line="580" w:lineRule="exact"/>
        <w:ind w:firstLine="640" w:firstLineChars="200"/>
        <w:rPr>
          <w:rFonts w:ascii="方正仿宋_GBK" w:hAnsi="Times New Roman" w:eastAsia="方正仿宋_GBK" w:cs="Times New Roman"/>
          <w:sz w:val="32"/>
          <w:szCs w:val="32"/>
        </w:rPr>
      </w:pPr>
      <w:r>
        <w:rPr>
          <w:rFonts w:hint="eastAsia" w:ascii="方正仿宋_GBK" w:hAnsi="Times New Roman" w:eastAsia="方正仿宋_GBK" w:cs="Times New Roman"/>
          <w:sz w:val="32"/>
          <w:szCs w:val="32"/>
        </w:rPr>
        <w:t>2</w:t>
      </w:r>
      <w:r>
        <w:rPr>
          <w:rFonts w:ascii="方正仿宋_GBK" w:hAnsi="Times New Roman" w:eastAsia="方正仿宋_GBK" w:cs="Times New Roman"/>
          <w:sz w:val="32"/>
          <w:szCs w:val="32"/>
        </w:rPr>
        <w:t>.</w:t>
      </w:r>
      <w:r>
        <w:rPr>
          <w:rFonts w:hint="eastAsia" w:ascii="方正仿宋_GBK" w:hAnsi="Times New Roman" w:eastAsia="方正仿宋_GBK" w:cs="Times New Roman"/>
          <w:sz w:val="32"/>
          <w:szCs w:val="32"/>
        </w:rPr>
        <w:t>评标</w:t>
      </w:r>
      <w:r>
        <w:rPr>
          <w:rFonts w:hint="eastAsia" w:ascii="方正仿宋_GBK" w:hAnsi="Times New Roman" w:eastAsia="方正仿宋_GBK" w:cs="Times New Roman"/>
          <w:color w:val="000000"/>
          <w:sz w:val="32"/>
          <w:szCs w:val="32"/>
        </w:rPr>
        <w:t>小组</w:t>
      </w:r>
      <w:r>
        <w:rPr>
          <w:rFonts w:hint="eastAsia" w:ascii="方正仿宋_GBK" w:hAnsi="Times New Roman" w:eastAsia="方正仿宋_GBK" w:cs="Times New Roman"/>
          <w:sz w:val="32"/>
          <w:szCs w:val="32"/>
        </w:rPr>
        <w:t>将资格性、符合性审查合格的投标人按报价（不高于最高限价）由低到高排序。</w:t>
      </w:r>
    </w:p>
    <w:p w14:paraId="2A07F01C">
      <w:pPr>
        <w:spacing w:line="580" w:lineRule="exact"/>
        <w:ind w:firstLine="640" w:firstLineChars="200"/>
        <w:rPr>
          <w:rFonts w:ascii="方正仿宋_GBK" w:hAnsi="Times New Roman" w:eastAsia="方正仿宋_GBK" w:cs="Times New Roman"/>
          <w:sz w:val="32"/>
          <w:szCs w:val="32"/>
        </w:rPr>
      </w:pPr>
      <w:r>
        <w:rPr>
          <w:rFonts w:hint="eastAsia" w:ascii="方正仿宋_GBK" w:hAnsi="Times New Roman" w:eastAsia="方正仿宋_GBK" w:cs="Times New Roman"/>
          <w:sz w:val="32"/>
          <w:szCs w:val="32"/>
        </w:rPr>
        <w:t>3.资格性、符合性审查合格的投标人中，报价最低的为中标人。若出现投标人最低投标报价一致的，由评标小组按照资质的高低原则排序；若出现投标人资质也一致的，由评标小组随机抽签决定排序。</w:t>
      </w:r>
    </w:p>
    <w:p w14:paraId="20F34566">
      <w:pPr>
        <w:spacing w:line="580" w:lineRule="exact"/>
        <w:ind w:firstLine="640" w:firstLineChars="200"/>
        <w:rPr>
          <w:rFonts w:ascii="方正仿宋_GBK" w:hAnsi="Times New Roman" w:eastAsia="方正仿宋_GBK" w:cs="Times New Roman"/>
          <w:sz w:val="32"/>
          <w:szCs w:val="32"/>
        </w:rPr>
      </w:pPr>
      <w:r>
        <w:rPr>
          <w:rFonts w:hint="eastAsia" w:ascii="方正仿宋_GBK" w:hAnsi="Times New Roman" w:eastAsia="方正仿宋_GBK" w:cs="Times New Roman"/>
          <w:sz w:val="32"/>
          <w:szCs w:val="32"/>
        </w:rPr>
        <w:t>（</w:t>
      </w:r>
      <w:r>
        <w:rPr>
          <w:rFonts w:ascii="方正仿宋_GBK" w:hAnsi="Times New Roman" w:eastAsia="方正仿宋_GBK" w:cs="Times New Roman"/>
          <w:sz w:val="32"/>
          <w:szCs w:val="32"/>
        </w:rPr>
        <w:t>3</w:t>
      </w:r>
      <w:r>
        <w:rPr>
          <w:rFonts w:hint="eastAsia" w:ascii="方正仿宋_GBK" w:hAnsi="Times New Roman" w:eastAsia="方正仿宋_GBK" w:cs="Times New Roman"/>
          <w:sz w:val="32"/>
          <w:szCs w:val="32"/>
        </w:rPr>
        <w:t>）评审标准</w:t>
      </w:r>
    </w:p>
    <w:p w14:paraId="60D41F20">
      <w:pPr>
        <w:spacing w:line="580" w:lineRule="exact"/>
        <w:ind w:firstLine="640" w:firstLineChars="200"/>
        <w:rPr>
          <w:rFonts w:ascii="方正仿宋_GBK" w:hAnsi="Times New Roman" w:eastAsia="方正仿宋_GBK" w:cs="Times New Roman"/>
          <w:sz w:val="32"/>
          <w:szCs w:val="32"/>
        </w:rPr>
      </w:pPr>
      <w:r>
        <w:rPr>
          <w:rFonts w:hint="eastAsia" w:ascii="方正仿宋_GBK" w:hAnsi="Times New Roman" w:eastAsia="方正仿宋_GBK" w:cs="Times New Roman"/>
          <w:sz w:val="32"/>
          <w:szCs w:val="32"/>
        </w:rPr>
        <w:t>资格性、符合性审查内容：</w:t>
      </w:r>
    </w:p>
    <w:p w14:paraId="10918E68">
      <w:pPr>
        <w:spacing w:line="580" w:lineRule="exact"/>
        <w:ind w:firstLine="640" w:firstLineChars="200"/>
        <w:rPr>
          <w:rFonts w:ascii="方正仿宋_GBK" w:hAnsi="Times New Roman" w:eastAsia="方正仿宋_GBK" w:cs="Times New Roman"/>
          <w:color w:val="000000"/>
          <w:sz w:val="32"/>
          <w:szCs w:val="32"/>
        </w:rPr>
      </w:pPr>
      <w:r>
        <w:rPr>
          <w:rFonts w:hint="eastAsia" w:ascii="方正仿宋_GBK" w:hAnsi="Times New Roman" w:eastAsia="方正仿宋_GBK" w:cs="Times New Roman"/>
          <w:color w:val="000000"/>
          <w:sz w:val="32"/>
          <w:szCs w:val="32"/>
        </w:rPr>
        <w:t>1.资格性评审：投标人资格条件、报价文件、信誉条件等是否满足谈判文件要求。</w:t>
      </w:r>
    </w:p>
    <w:p w14:paraId="5B1DEB6F">
      <w:pPr>
        <w:spacing w:line="580" w:lineRule="exact"/>
        <w:ind w:firstLine="640" w:firstLineChars="200"/>
        <w:rPr>
          <w:rFonts w:ascii="方正仿宋_GBK" w:hAnsi="Times New Roman" w:eastAsia="方正仿宋_GBK" w:cs="Times New Roman"/>
          <w:color w:val="000000"/>
          <w:sz w:val="32"/>
          <w:szCs w:val="32"/>
        </w:rPr>
      </w:pPr>
      <w:r>
        <w:rPr>
          <w:rFonts w:hint="eastAsia" w:ascii="方正仿宋_GBK" w:hAnsi="Times New Roman" w:eastAsia="方正仿宋_GBK" w:cs="Times New Roman"/>
          <w:color w:val="000000"/>
          <w:sz w:val="32"/>
          <w:szCs w:val="32"/>
        </w:rPr>
        <w:t>2.符合性评审：投标文件格式、投标文件密封、盖章齐全、报价、工期等是否符合谈判文件要求等。</w:t>
      </w:r>
    </w:p>
    <w:p w14:paraId="4CC8A401">
      <w:pPr>
        <w:spacing w:line="580" w:lineRule="exact"/>
        <w:ind w:firstLine="640" w:firstLineChars="200"/>
        <w:rPr>
          <w:rFonts w:ascii="方正仿宋_GBK" w:hAnsi="Times New Roman" w:eastAsia="方正仿宋_GBK" w:cs="Times New Roman"/>
          <w:sz w:val="32"/>
          <w:szCs w:val="32"/>
        </w:rPr>
      </w:pPr>
      <w:r>
        <w:rPr>
          <w:rFonts w:hint="eastAsia" w:ascii="方正仿宋_GBK" w:hAnsi="Times New Roman" w:eastAsia="方正仿宋_GBK" w:cs="Times New Roman"/>
          <w:sz w:val="32"/>
          <w:szCs w:val="32"/>
        </w:rPr>
        <w:t>资格性、符合性审查中有任何一项不符合要求，其资格性、符合性审查不合格，不得成为中标人。</w:t>
      </w:r>
    </w:p>
    <w:p w14:paraId="71E77AC3">
      <w:pPr>
        <w:spacing w:line="580" w:lineRule="exact"/>
        <w:ind w:firstLine="640" w:firstLineChars="200"/>
        <w:rPr>
          <w:rFonts w:ascii="方正黑体_GBK" w:hAnsi="Times New Roman" w:eastAsia="方正黑体_GBK" w:cs="Times New Roman"/>
          <w:color w:val="000000" w:themeColor="text1"/>
          <w:sz w:val="32"/>
          <w:szCs w:val="32"/>
          <w14:textFill>
            <w14:solidFill>
              <w14:schemeClr w14:val="tx1"/>
            </w14:solidFill>
          </w14:textFill>
        </w:rPr>
      </w:pPr>
      <w:r>
        <w:rPr>
          <w:rFonts w:hint="eastAsia" w:ascii="方正黑体_GBK" w:hAnsi="Times New Roman" w:eastAsia="方正黑体_GBK" w:cs="Times New Roman"/>
          <w:color w:val="000000" w:themeColor="text1"/>
          <w:sz w:val="32"/>
          <w:szCs w:val="32"/>
          <w14:textFill>
            <w14:solidFill>
              <w14:schemeClr w14:val="tx1"/>
            </w14:solidFill>
          </w14:textFill>
        </w:rPr>
        <w:t>十、其他</w:t>
      </w:r>
    </w:p>
    <w:p w14:paraId="58003D4A">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1. 投标人必须对以上条款和服务承诺明确列出，满足要求。</w:t>
      </w:r>
    </w:p>
    <w:p w14:paraId="0ED033D6">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2.</w:t>
      </w:r>
      <w:r>
        <w:rPr>
          <w:rFonts w:ascii="方正仿宋_GBK" w:hAnsi="Times New Roman" w:eastAsia="方正仿宋_GBK" w:cs="Times New Roman"/>
          <w:color w:val="000000" w:themeColor="text1"/>
          <w:sz w:val="32"/>
          <w:szCs w:val="32"/>
          <w14:textFill>
            <w14:solidFill>
              <w14:schemeClr w14:val="tx1"/>
            </w14:solidFill>
          </w14:textFill>
        </w:rPr>
        <w:t xml:space="preserve"> 除</w:t>
      </w:r>
      <w:r>
        <w:rPr>
          <w:rFonts w:hint="eastAsia" w:ascii="方正仿宋_GBK" w:hAnsi="Times New Roman" w:eastAsia="方正仿宋_GBK" w:cs="Times New Roman"/>
          <w:color w:val="000000" w:themeColor="text1"/>
          <w:sz w:val="32"/>
          <w:szCs w:val="32"/>
          <w14:textFill>
            <w14:solidFill>
              <w14:schemeClr w14:val="tx1"/>
            </w14:solidFill>
          </w14:textFill>
        </w:rPr>
        <w:t>前文</w:t>
      </w:r>
      <w:r>
        <w:rPr>
          <w:rFonts w:ascii="方正仿宋_GBK" w:hAnsi="Times New Roman" w:eastAsia="方正仿宋_GBK" w:cs="Times New Roman"/>
          <w:color w:val="000000" w:themeColor="text1"/>
          <w:sz w:val="32"/>
          <w:szCs w:val="32"/>
          <w14:textFill>
            <w14:solidFill>
              <w14:schemeClr w14:val="tx1"/>
            </w14:solidFill>
          </w14:textFill>
        </w:rPr>
        <w:t>要求外</w:t>
      </w:r>
      <w:r>
        <w:rPr>
          <w:rFonts w:hint="eastAsia" w:ascii="方正仿宋_GBK" w:hAnsi="Times New Roman" w:eastAsia="方正仿宋_GBK" w:cs="Times New Roman"/>
          <w:color w:val="000000" w:themeColor="text1"/>
          <w:sz w:val="32"/>
          <w:szCs w:val="32"/>
          <w14:textFill>
            <w14:solidFill>
              <w14:schemeClr w14:val="tx1"/>
            </w14:solidFill>
          </w14:textFill>
        </w:rPr>
        <w:t>，</w:t>
      </w:r>
      <w:r>
        <w:rPr>
          <w:rFonts w:ascii="方正仿宋_GBK" w:hAnsi="Times New Roman" w:eastAsia="方正仿宋_GBK" w:cs="Times New Roman"/>
          <w:color w:val="000000" w:themeColor="text1"/>
          <w:sz w:val="32"/>
          <w:szCs w:val="32"/>
          <w14:textFill>
            <w14:solidFill>
              <w14:schemeClr w14:val="tx1"/>
            </w14:solidFill>
          </w14:textFill>
        </w:rPr>
        <w:t>投标人</w:t>
      </w:r>
      <w:r>
        <w:rPr>
          <w:rFonts w:hint="eastAsia" w:ascii="方正仿宋_GBK" w:hAnsi="Times New Roman" w:eastAsia="方正仿宋_GBK" w:cs="Times New Roman"/>
          <w:color w:val="000000" w:themeColor="text1"/>
          <w:sz w:val="32"/>
          <w:szCs w:val="32"/>
          <w14:textFill>
            <w14:solidFill>
              <w14:schemeClr w14:val="tx1"/>
            </w14:solidFill>
          </w14:textFill>
        </w:rPr>
        <w:t>发生以下条款情况之一时，视为无效响应，其投标文件将被拒绝：</w:t>
      </w:r>
    </w:p>
    <w:p w14:paraId="2E3A6A53">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（1）</w:t>
      </w:r>
      <w:r>
        <w:rPr>
          <w:rFonts w:ascii="方正仿宋_GBK" w:hAnsi="Times New Roman" w:eastAsia="方正仿宋_GBK" w:cs="Times New Roman"/>
          <w:color w:val="000000" w:themeColor="text1"/>
          <w:sz w:val="32"/>
          <w:szCs w:val="32"/>
          <w14:textFill>
            <w14:solidFill>
              <w14:schemeClr w14:val="tx1"/>
            </w14:solidFill>
          </w14:textFill>
        </w:rPr>
        <w:t>投标人</w:t>
      </w:r>
      <w:r>
        <w:rPr>
          <w:rFonts w:hint="eastAsia" w:ascii="方正仿宋_GBK" w:hAnsi="Times New Roman" w:eastAsia="方正仿宋_GBK" w:cs="Times New Roman"/>
          <w:color w:val="000000" w:themeColor="text1"/>
          <w:sz w:val="32"/>
          <w:szCs w:val="32"/>
          <w14:textFill>
            <w14:solidFill>
              <w14:schemeClr w14:val="tx1"/>
            </w14:solidFill>
          </w14:textFill>
        </w:rPr>
        <w:t>不符合规定的资格条件的；</w:t>
      </w:r>
    </w:p>
    <w:p w14:paraId="05A18EC5">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（2）</w:t>
      </w:r>
      <w:r>
        <w:rPr>
          <w:rFonts w:ascii="方正仿宋_GBK" w:hAnsi="Times New Roman" w:eastAsia="方正仿宋_GBK" w:cs="Times New Roman"/>
          <w:color w:val="000000" w:themeColor="text1"/>
          <w:sz w:val="32"/>
          <w:szCs w:val="32"/>
          <w14:textFill>
            <w14:solidFill>
              <w14:schemeClr w14:val="tx1"/>
            </w14:solidFill>
          </w14:textFill>
        </w:rPr>
        <w:t>投标人</w:t>
      </w:r>
      <w:r>
        <w:rPr>
          <w:rFonts w:hint="eastAsia" w:ascii="方正仿宋_GBK" w:hAnsi="Times New Roman" w:eastAsia="方正仿宋_GBK" w:cs="Times New Roman"/>
          <w:color w:val="000000" w:themeColor="text1"/>
          <w:sz w:val="32"/>
          <w:szCs w:val="32"/>
          <w14:textFill>
            <w14:solidFill>
              <w14:schemeClr w14:val="tx1"/>
            </w14:solidFill>
          </w14:textFill>
        </w:rPr>
        <w:t>的法定代表人或其授权代表人未签到参加谈判的；</w:t>
      </w:r>
    </w:p>
    <w:p w14:paraId="762CA3B2">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w:t>
      </w:r>
      <w:r>
        <w:rPr>
          <w:rFonts w:ascii="方正仿宋_GBK" w:hAnsi="Times New Roman" w:eastAsia="方正仿宋_GBK" w:cs="Times New Roman"/>
          <w:color w:val="000000" w:themeColor="text1"/>
          <w:sz w:val="32"/>
          <w:szCs w:val="32"/>
          <w14:textFill>
            <w14:solidFill>
              <w14:schemeClr w14:val="tx1"/>
            </w14:solidFill>
          </w14:textFill>
        </w:rPr>
        <w:t>3</w:t>
      </w:r>
      <w:r>
        <w:rPr>
          <w:rFonts w:hint="eastAsia" w:ascii="方正仿宋_GBK" w:hAnsi="Times New Roman" w:eastAsia="方正仿宋_GBK" w:cs="Times New Roman"/>
          <w:color w:val="000000" w:themeColor="text1"/>
          <w:sz w:val="32"/>
          <w:szCs w:val="32"/>
          <w14:textFill>
            <w14:solidFill>
              <w14:schemeClr w14:val="tx1"/>
            </w14:solidFill>
          </w14:textFill>
        </w:rPr>
        <w:t>）法定代表人为同一个人的两个及两个以上法人，母公司、全资子公司及其控股公司参与谈判的；</w:t>
      </w:r>
    </w:p>
    <w:p w14:paraId="17E08F65">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w:t>
      </w:r>
      <w:r>
        <w:rPr>
          <w:rFonts w:ascii="方正仿宋_GBK" w:hAnsi="Times New Roman" w:eastAsia="方正仿宋_GBK" w:cs="Times New Roman"/>
          <w:color w:val="000000" w:themeColor="text1"/>
          <w:sz w:val="32"/>
          <w:szCs w:val="32"/>
          <w14:textFill>
            <w14:solidFill>
              <w14:schemeClr w14:val="tx1"/>
            </w14:solidFill>
          </w14:textFill>
        </w:rPr>
        <w:t>4</w:t>
      </w:r>
      <w:r>
        <w:rPr>
          <w:rFonts w:hint="eastAsia" w:ascii="方正仿宋_GBK" w:hAnsi="Times New Roman" w:eastAsia="方正仿宋_GBK" w:cs="Times New Roman"/>
          <w:color w:val="000000" w:themeColor="text1"/>
          <w:sz w:val="32"/>
          <w:szCs w:val="32"/>
          <w14:textFill>
            <w14:solidFill>
              <w14:schemeClr w14:val="tx1"/>
            </w14:solidFill>
          </w14:textFill>
        </w:rPr>
        <w:t>）单位负责人为同一人或者存在直接控股、管理关系的不同投标人；</w:t>
      </w:r>
    </w:p>
    <w:p w14:paraId="551663C4">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w:t>
      </w:r>
      <w:r>
        <w:rPr>
          <w:rFonts w:ascii="方正仿宋_GBK" w:hAnsi="Times New Roman" w:eastAsia="方正仿宋_GBK" w:cs="Times New Roman"/>
          <w:color w:val="000000" w:themeColor="text1"/>
          <w:sz w:val="32"/>
          <w:szCs w:val="32"/>
          <w14:textFill>
            <w14:solidFill>
              <w14:schemeClr w14:val="tx1"/>
            </w14:solidFill>
          </w14:textFill>
        </w:rPr>
        <w:t>5</w:t>
      </w:r>
      <w:r>
        <w:rPr>
          <w:rFonts w:hint="eastAsia" w:ascii="方正仿宋_GBK" w:hAnsi="Times New Roman" w:eastAsia="方正仿宋_GBK" w:cs="Times New Roman"/>
          <w:color w:val="000000" w:themeColor="text1"/>
          <w:sz w:val="32"/>
          <w:szCs w:val="32"/>
          <w14:textFill>
            <w14:solidFill>
              <w14:schemeClr w14:val="tx1"/>
            </w14:solidFill>
          </w14:textFill>
        </w:rPr>
        <w:t>）</w:t>
      </w:r>
      <w:r>
        <w:rPr>
          <w:rFonts w:ascii="方正仿宋_GBK" w:hAnsi="Times New Roman" w:eastAsia="方正仿宋_GBK" w:cs="Times New Roman"/>
          <w:color w:val="000000" w:themeColor="text1"/>
          <w:sz w:val="32"/>
          <w:szCs w:val="32"/>
          <w14:textFill>
            <w14:solidFill>
              <w14:schemeClr w14:val="tx1"/>
            </w14:solidFill>
          </w14:textFill>
        </w:rPr>
        <w:t>投标人</w:t>
      </w:r>
      <w:r>
        <w:rPr>
          <w:rFonts w:hint="eastAsia" w:ascii="方正仿宋_GBK" w:hAnsi="Times New Roman" w:eastAsia="方正仿宋_GBK" w:cs="Times New Roman"/>
          <w:color w:val="000000" w:themeColor="text1"/>
          <w:sz w:val="32"/>
          <w:szCs w:val="32"/>
          <w14:textFill>
            <w14:solidFill>
              <w14:schemeClr w14:val="tx1"/>
            </w14:solidFill>
          </w14:textFill>
        </w:rPr>
        <w:t>投标文件内容有与国家现行法律法规相违背的内容，或附有招标人无法接受的条件的。</w:t>
      </w:r>
    </w:p>
    <w:p w14:paraId="4E3909DE">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3.其他未尽事宜由双方在合同中详细约定。</w:t>
      </w:r>
    </w:p>
    <w:p w14:paraId="598BBCEA">
      <w:pPr>
        <w:pStyle w:val="13"/>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4</w:t>
      </w:r>
      <w:r>
        <w:rPr>
          <w:rFonts w:ascii="方正仿宋_GBK" w:hAnsi="Times New Roman" w:eastAsia="方正仿宋_GBK" w:cs="Times New Roman"/>
          <w:color w:val="000000" w:themeColor="text1"/>
          <w:sz w:val="32"/>
          <w:szCs w:val="32"/>
          <w14:textFill>
            <w14:solidFill>
              <w14:schemeClr w14:val="tx1"/>
            </w14:solidFill>
          </w14:textFill>
        </w:rPr>
        <w:t>.投标人</w:t>
      </w:r>
      <w:r>
        <w:rPr>
          <w:rFonts w:hint="eastAsia" w:ascii="方正仿宋_GBK" w:hAnsi="Times New Roman" w:eastAsia="方正仿宋_GBK" w:cs="Times New Roman"/>
          <w:color w:val="000000" w:themeColor="text1"/>
          <w:sz w:val="32"/>
          <w:szCs w:val="32"/>
          <w14:textFill>
            <w14:solidFill>
              <w14:schemeClr w14:val="tx1"/>
            </w14:solidFill>
          </w14:textFill>
        </w:rPr>
        <w:t>应</w:t>
      </w:r>
      <w:r>
        <w:rPr>
          <w:rFonts w:ascii="方正仿宋_GBK" w:hAnsi="Times New Roman" w:eastAsia="方正仿宋_GBK" w:cs="Times New Roman"/>
          <w:color w:val="000000" w:themeColor="text1"/>
          <w:sz w:val="32"/>
          <w:szCs w:val="32"/>
          <w14:textFill>
            <w14:solidFill>
              <w14:schemeClr w14:val="tx1"/>
            </w14:solidFill>
          </w14:textFill>
        </w:rPr>
        <w:t>自行踏勘现场</w:t>
      </w:r>
      <w:r>
        <w:rPr>
          <w:rFonts w:hint="eastAsia" w:ascii="方正仿宋_GBK" w:hAnsi="Times New Roman" w:eastAsia="方正仿宋_GBK" w:cs="Times New Roman"/>
          <w:color w:val="000000" w:themeColor="text1"/>
          <w:sz w:val="32"/>
          <w:szCs w:val="32"/>
          <w14:textFill>
            <w14:solidFill>
              <w14:schemeClr w14:val="tx1"/>
            </w14:solidFill>
          </w14:textFill>
        </w:rPr>
        <w:t>，</w:t>
      </w:r>
      <w:r>
        <w:rPr>
          <w:rFonts w:ascii="方正仿宋_GBK" w:hAnsi="Times New Roman" w:eastAsia="方正仿宋_GBK" w:cs="Times New Roman"/>
          <w:color w:val="000000" w:themeColor="text1"/>
          <w:sz w:val="32"/>
          <w:szCs w:val="32"/>
          <w14:textFill>
            <w14:solidFill>
              <w14:schemeClr w14:val="tx1"/>
            </w14:solidFill>
          </w14:textFill>
        </w:rPr>
        <w:t>踏勘现场产生的费用自</w:t>
      </w:r>
      <w:r>
        <w:rPr>
          <w:rFonts w:hint="eastAsia" w:ascii="方正仿宋_GBK" w:hAnsi="Times New Roman" w:eastAsia="方正仿宋_GBK" w:cs="Times New Roman"/>
          <w:color w:val="000000" w:themeColor="text1"/>
          <w:sz w:val="32"/>
          <w:szCs w:val="32"/>
          <w14:textFill>
            <w14:solidFill>
              <w14:schemeClr w14:val="tx1"/>
            </w14:solidFill>
          </w14:textFill>
        </w:rPr>
        <w:t>理，投</w:t>
      </w:r>
      <w:r>
        <w:rPr>
          <w:rFonts w:ascii="方正仿宋_GBK" w:hAnsi="Times New Roman" w:eastAsia="方正仿宋_GBK" w:cs="Times New Roman"/>
          <w:color w:val="000000" w:themeColor="text1"/>
          <w:sz w:val="32"/>
          <w:szCs w:val="32"/>
          <w14:textFill>
            <w14:solidFill>
              <w14:schemeClr w14:val="tx1"/>
            </w14:solidFill>
          </w14:textFill>
        </w:rPr>
        <w:t>标未踏勘现场</w:t>
      </w:r>
      <w:r>
        <w:rPr>
          <w:rFonts w:hint="eastAsia" w:ascii="方正仿宋_GBK" w:hAnsi="Times New Roman" w:eastAsia="方正仿宋_GBK" w:cs="Times New Roman"/>
          <w:color w:val="000000" w:themeColor="text1"/>
          <w:sz w:val="32"/>
          <w:szCs w:val="32"/>
          <w14:textFill>
            <w14:solidFill>
              <w14:schemeClr w14:val="tx1"/>
            </w14:solidFill>
          </w14:textFill>
        </w:rPr>
        <w:t>或</w:t>
      </w:r>
      <w:r>
        <w:rPr>
          <w:rFonts w:ascii="方正仿宋_GBK" w:hAnsi="Times New Roman" w:eastAsia="方正仿宋_GBK" w:cs="Times New Roman"/>
          <w:color w:val="000000" w:themeColor="text1"/>
          <w:sz w:val="32"/>
          <w:szCs w:val="32"/>
          <w14:textFill>
            <w14:solidFill>
              <w14:schemeClr w14:val="tx1"/>
            </w14:solidFill>
          </w14:textFill>
        </w:rPr>
        <w:t>因自身对现场的误</w:t>
      </w:r>
      <w:r>
        <w:rPr>
          <w:rFonts w:hint="eastAsia" w:ascii="方正仿宋_GBK" w:hAnsi="Times New Roman" w:eastAsia="方正仿宋_GBK" w:cs="Times New Roman"/>
          <w:color w:val="000000" w:themeColor="text1"/>
          <w:sz w:val="32"/>
          <w:szCs w:val="32"/>
          <w14:textFill>
            <w14:solidFill>
              <w14:schemeClr w14:val="tx1"/>
            </w14:solidFill>
          </w14:textFill>
        </w:rPr>
        <w:t>解</w:t>
      </w:r>
      <w:r>
        <w:rPr>
          <w:rFonts w:ascii="方正仿宋_GBK" w:hAnsi="Times New Roman" w:eastAsia="方正仿宋_GBK" w:cs="Times New Roman"/>
          <w:color w:val="000000" w:themeColor="text1"/>
          <w:sz w:val="32"/>
          <w:szCs w:val="32"/>
          <w14:textFill>
            <w14:solidFill>
              <w14:schemeClr w14:val="tx1"/>
            </w14:solidFill>
          </w14:textFill>
        </w:rPr>
        <w:t>造成的</w:t>
      </w:r>
      <w:r>
        <w:rPr>
          <w:rFonts w:hint="eastAsia" w:ascii="方正仿宋_GBK" w:hAnsi="Times New Roman" w:eastAsia="方正仿宋_GBK" w:cs="Times New Roman"/>
          <w:color w:val="000000" w:themeColor="text1"/>
          <w:sz w:val="32"/>
          <w:szCs w:val="32"/>
          <w14:textFill>
            <w14:solidFill>
              <w14:schemeClr w14:val="tx1"/>
            </w14:solidFill>
          </w14:textFill>
        </w:rPr>
        <w:t>损失</w:t>
      </w:r>
      <w:r>
        <w:rPr>
          <w:rFonts w:ascii="方正仿宋_GBK" w:hAnsi="Times New Roman" w:eastAsia="方正仿宋_GBK" w:cs="Times New Roman"/>
          <w:color w:val="000000" w:themeColor="text1"/>
          <w:sz w:val="32"/>
          <w:szCs w:val="32"/>
          <w14:textFill>
            <w14:solidFill>
              <w14:schemeClr w14:val="tx1"/>
            </w14:solidFill>
          </w14:textFill>
        </w:rPr>
        <w:t>自行负责，投标人投标产生的一切费用自</w:t>
      </w:r>
      <w:r>
        <w:rPr>
          <w:rFonts w:hint="eastAsia" w:ascii="方正仿宋_GBK" w:hAnsi="Times New Roman" w:eastAsia="方正仿宋_GBK" w:cs="Times New Roman"/>
          <w:color w:val="000000" w:themeColor="text1"/>
          <w:sz w:val="32"/>
          <w:szCs w:val="32"/>
          <w14:textFill>
            <w14:solidFill>
              <w14:schemeClr w14:val="tx1"/>
            </w14:solidFill>
          </w14:textFill>
        </w:rPr>
        <w:t>理</w:t>
      </w:r>
      <w:r>
        <w:rPr>
          <w:rFonts w:ascii="方正仿宋_GBK" w:hAnsi="Times New Roman" w:eastAsia="方正仿宋_GBK" w:cs="Times New Roman"/>
          <w:color w:val="000000" w:themeColor="text1"/>
          <w:sz w:val="32"/>
          <w:szCs w:val="32"/>
          <w14:textFill>
            <w14:solidFill>
              <w14:schemeClr w14:val="tx1"/>
            </w14:solidFill>
          </w14:textFill>
        </w:rPr>
        <w:t>。</w:t>
      </w:r>
    </w:p>
    <w:p w14:paraId="5E9C874F">
      <w:pPr>
        <w:spacing w:line="580" w:lineRule="exact"/>
        <w:ind w:firstLine="640" w:firstLineChars="200"/>
        <w:rPr>
          <w:rFonts w:ascii="方正黑体_GBK" w:hAnsi="Times New Roman" w:eastAsia="方正黑体_GBK" w:cs="Times New Roman"/>
          <w:color w:val="000000" w:themeColor="text1"/>
          <w:sz w:val="32"/>
          <w:szCs w:val="32"/>
          <w14:textFill>
            <w14:solidFill>
              <w14:schemeClr w14:val="tx1"/>
            </w14:solidFill>
          </w14:textFill>
        </w:rPr>
      </w:pPr>
      <w:r>
        <w:rPr>
          <w:rFonts w:hint="eastAsia" w:ascii="方正黑体_GBK" w:hAnsi="Times New Roman" w:eastAsia="方正黑体_GBK" w:cs="Times New Roman"/>
          <w:color w:val="000000" w:themeColor="text1"/>
          <w:sz w:val="32"/>
          <w:szCs w:val="32"/>
          <w14:textFill>
            <w14:solidFill>
              <w14:schemeClr w14:val="tx1"/>
            </w14:solidFill>
          </w14:textFill>
        </w:rPr>
        <w:t>十一、特别说明</w:t>
      </w:r>
    </w:p>
    <w:p w14:paraId="7A48E237">
      <w:pPr>
        <w:widowControl/>
        <w:spacing w:line="600" w:lineRule="exact"/>
        <w:ind w:firstLine="640" w:firstLineChars="200"/>
        <w:rPr>
          <w:rFonts w:ascii="方正仿宋_GBK" w:hAnsi="宋体" w:eastAsia="方正仿宋_GBK" w:cs="宋体"/>
          <w:color w:val="000000" w:themeColor="text1"/>
          <w:kern w:val="0"/>
          <w:sz w:val="32"/>
          <w:szCs w:val="32"/>
          <w14:textFill>
            <w14:solidFill>
              <w14:schemeClr w14:val="tx1"/>
            </w14:solidFill>
          </w14:textFill>
        </w:rPr>
      </w:pPr>
      <w:r>
        <w:rPr>
          <w:rFonts w:ascii="方正仿宋_GBK" w:hAnsi="Times New Roman" w:eastAsia="方正仿宋_GBK" w:cs="Times New Roman"/>
          <w:color w:val="000000" w:themeColor="text1"/>
          <w:sz w:val="32"/>
          <w:szCs w:val="32"/>
          <w14:textFill>
            <w14:solidFill>
              <w14:schemeClr w14:val="tx1"/>
            </w14:solidFill>
          </w14:textFill>
        </w:rPr>
        <w:t>1</w:t>
      </w:r>
      <w:r>
        <w:rPr>
          <w:rFonts w:hint="eastAsia" w:ascii="方正仿宋_GBK" w:hAnsi="Times New Roman" w:eastAsia="方正仿宋_GBK" w:cs="Times New Roman"/>
          <w:color w:val="000000" w:themeColor="text1"/>
          <w:sz w:val="32"/>
          <w:szCs w:val="32"/>
          <w14:textFill>
            <w14:solidFill>
              <w14:schemeClr w14:val="tx1"/>
            </w14:solidFill>
          </w14:textFill>
        </w:rPr>
        <w:t>．</w:t>
      </w:r>
      <w:r>
        <w:rPr>
          <w:rFonts w:hint="eastAsia" w:ascii="方正仿宋_GBK" w:hAnsi="宋体" w:eastAsia="方正仿宋_GBK" w:cs="宋体"/>
          <w:color w:val="000000" w:themeColor="text1"/>
          <w:kern w:val="0"/>
          <w:sz w:val="32"/>
          <w:szCs w:val="32"/>
          <w14:textFill>
            <w14:solidFill>
              <w14:schemeClr w14:val="tx1"/>
            </w14:solidFill>
          </w14:textFill>
        </w:rPr>
        <w:t>开标结束后至项目竣工验收前如发现中标单位中标清单综合单价报价异常（如出现不平衡报价、中标清单综合单价与清单综合单价异常接近甚至一样等情况），予以解除合同等处理，期间所产生的一切费用由中标单位承担。</w:t>
      </w:r>
    </w:p>
    <w:p w14:paraId="6F71E7CE">
      <w:pPr>
        <w:spacing w:line="600" w:lineRule="exact"/>
        <w:ind w:firstLine="632" w:firstLineChars="200"/>
        <w:rPr>
          <w:rFonts w:ascii="方正黑体_GBK" w:eastAsia="方正黑体_GBK"/>
          <w:snapToGrid w:val="0"/>
          <w:color w:val="000000" w:themeColor="text1"/>
          <w:w w:val="99"/>
          <w:sz w:val="32"/>
          <w:szCs w:val="32"/>
          <w14:textFill>
            <w14:solidFill>
              <w14:schemeClr w14:val="tx1"/>
            </w14:solidFill>
          </w14:textFill>
        </w:rPr>
      </w:pPr>
      <w:r>
        <w:rPr>
          <w:rFonts w:hint="eastAsia" w:ascii="方正黑体_GBK" w:eastAsia="方正黑体_GBK"/>
          <w:snapToGrid w:val="0"/>
          <w:color w:val="000000" w:themeColor="text1"/>
          <w:w w:val="99"/>
          <w:sz w:val="32"/>
          <w:szCs w:val="32"/>
          <w14:textFill>
            <w14:solidFill>
              <w14:schemeClr w14:val="tx1"/>
            </w14:solidFill>
          </w14:textFill>
        </w:rPr>
        <w:t>十二、弃标处理</w:t>
      </w:r>
    </w:p>
    <w:p w14:paraId="45FD7BBE">
      <w:pPr>
        <w:spacing w:line="600" w:lineRule="exact"/>
        <w:ind w:firstLine="640" w:firstLineChars="200"/>
        <w:rPr>
          <w:rFonts w:ascii="方正仿宋_GBK" w:eastAsia="方正仿宋_GBK"/>
          <w:bCs/>
          <w:snapToGrid w:val="0"/>
          <w:color w:val="000000" w:themeColor="text1"/>
          <w:sz w:val="32"/>
          <w:szCs w:val="32"/>
          <w14:textFill>
            <w14:solidFill>
              <w14:schemeClr w14:val="tx1"/>
            </w14:solidFill>
          </w14:textFill>
        </w:rPr>
      </w:pPr>
      <w:r>
        <w:rPr>
          <w:rFonts w:hint="eastAsia" w:ascii="方正仿宋_GBK" w:eastAsia="方正仿宋_GBK"/>
          <w:bCs/>
          <w:snapToGrid w:val="0"/>
          <w:color w:val="000000" w:themeColor="text1"/>
          <w:sz w:val="32"/>
          <w:szCs w:val="32"/>
          <w14:textFill>
            <w14:solidFill>
              <w14:schemeClr w14:val="tx1"/>
            </w14:solidFill>
          </w14:textFill>
        </w:rPr>
        <w:t>（一）招标人在中标公示结束后三日内，</w:t>
      </w:r>
      <w:r>
        <w:rPr>
          <w:rFonts w:hint="eastAsia" w:ascii="方正仿宋_GBK" w:eastAsia="方正仿宋_GBK"/>
          <w:bCs/>
          <w:snapToGrid w:val="0"/>
          <w:sz w:val="32"/>
          <w:szCs w:val="32"/>
        </w:rPr>
        <w:t>第一中标候选人未按规定提供资金担保、缴纳</w:t>
      </w:r>
      <w:r>
        <w:rPr>
          <w:rFonts w:hint="eastAsia" w:ascii="方正仿宋_GBK" w:hAnsi="Times New Roman" w:eastAsia="方正仿宋_GBK" w:cs="Times New Roman"/>
          <w:color w:val="000000" w:themeColor="text1"/>
          <w:sz w:val="32"/>
          <w:szCs w:val="32"/>
          <w14:textFill>
            <w14:solidFill>
              <w14:schemeClr w14:val="tx1"/>
            </w14:solidFill>
          </w14:textFill>
        </w:rPr>
        <w:t>低价风险担保费用</w:t>
      </w:r>
      <w:r>
        <w:rPr>
          <w:rFonts w:hint="eastAsia" w:ascii="方正仿宋_GBK" w:eastAsia="方正仿宋_GBK"/>
          <w:bCs/>
          <w:snapToGrid w:val="0"/>
          <w:sz w:val="32"/>
          <w:szCs w:val="32"/>
        </w:rPr>
        <w:t>，</w:t>
      </w:r>
      <w:r>
        <w:rPr>
          <w:rFonts w:hint="eastAsia" w:ascii="方正仿宋_GBK" w:eastAsia="方正仿宋_GBK"/>
          <w:bCs/>
          <w:snapToGrid w:val="0"/>
          <w:color w:val="000000" w:themeColor="text1"/>
          <w:sz w:val="32"/>
          <w:szCs w:val="32"/>
          <w14:textFill>
            <w14:solidFill>
              <w14:schemeClr w14:val="tx1"/>
            </w14:solidFill>
          </w14:textFill>
        </w:rPr>
        <w:t>或未按规定签订施工合同的无故弃标行为，并将其列入九龙现代产业集团信用黑名单，禁止在我司承揽相关工程。</w:t>
      </w:r>
    </w:p>
    <w:p w14:paraId="22708B8D">
      <w:pPr>
        <w:spacing w:line="600" w:lineRule="exact"/>
        <w:ind w:firstLine="640" w:firstLineChars="200"/>
        <w:rPr>
          <w:rFonts w:ascii="方正仿宋_GBK" w:eastAsia="方正仿宋_GBK"/>
          <w:bCs/>
          <w:snapToGrid w:val="0"/>
          <w:color w:val="000000" w:themeColor="text1"/>
          <w:sz w:val="32"/>
          <w:szCs w:val="32"/>
          <w14:textFill>
            <w14:solidFill>
              <w14:schemeClr w14:val="tx1"/>
            </w14:solidFill>
          </w14:textFill>
        </w:rPr>
      </w:pPr>
      <w:r>
        <w:rPr>
          <w:rFonts w:hint="eastAsia" w:ascii="方正仿宋_GBK" w:eastAsia="方正仿宋_GBK"/>
          <w:bCs/>
          <w:snapToGrid w:val="0"/>
          <w:color w:val="000000" w:themeColor="text1"/>
          <w:sz w:val="32"/>
          <w:szCs w:val="32"/>
          <w14:textFill>
            <w14:solidFill>
              <w14:schemeClr w14:val="tx1"/>
            </w14:solidFill>
          </w14:textFill>
        </w:rPr>
        <w:t>（二）第一中标候选人放弃中标，给招标人造成损失的，应当赔偿。</w:t>
      </w:r>
    </w:p>
    <w:p w14:paraId="589EE85B">
      <w:pPr>
        <w:spacing w:line="600" w:lineRule="exact"/>
        <w:ind w:firstLine="640" w:firstLineChars="200"/>
        <w:rPr>
          <w:rFonts w:ascii="方正仿宋_GBK" w:eastAsia="方正仿宋_GBK"/>
          <w:bCs/>
          <w:snapToGrid w:val="0"/>
          <w:color w:val="000000" w:themeColor="text1"/>
          <w:sz w:val="32"/>
          <w:szCs w:val="32"/>
          <w14:textFill>
            <w14:solidFill>
              <w14:schemeClr w14:val="tx1"/>
            </w14:solidFill>
          </w14:textFill>
        </w:rPr>
      </w:pPr>
      <w:r>
        <w:rPr>
          <w:rFonts w:hint="eastAsia" w:ascii="方正仿宋_GBK" w:eastAsia="方正仿宋_GBK"/>
          <w:bCs/>
          <w:snapToGrid w:val="0"/>
          <w:color w:val="000000" w:themeColor="text1"/>
          <w:sz w:val="32"/>
          <w:szCs w:val="32"/>
          <w14:textFill>
            <w14:solidFill>
              <w14:schemeClr w14:val="tx1"/>
            </w14:solidFill>
          </w14:textFill>
        </w:rPr>
        <w:t>（三）第一名放弃或者被取消中标资格，招标人可从按排序单位选择，也可以重新组织谈判。</w:t>
      </w:r>
    </w:p>
    <w:p w14:paraId="30188814">
      <w:pPr>
        <w:spacing w:line="600" w:lineRule="exact"/>
        <w:ind w:firstLine="640" w:firstLineChars="200"/>
        <w:rPr>
          <w:rFonts w:ascii="方正黑体_GBK" w:hAnsi="宋体" w:eastAsia="方正黑体_GBK"/>
          <w:bCs/>
          <w:snapToGrid w:val="0"/>
          <w:color w:val="000000" w:themeColor="text1"/>
          <w:sz w:val="32"/>
          <w:szCs w:val="32"/>
          <w14:textFill>
            <w14:solidFill>
              <w14:schemeClr w14:val="tx1"/>
            </w14:solidFill>
          </w14:textFill>
        </w:rPr>
      </w:pPr>
      <w:r>
        <w:rPr>
          <w:rFonts w:hint="eastAsia" w:ascii="方正黑体_GBK" w:hAnsi="宋体" w:eastAsia="方正黑体_GBK"/>
          <w:bCs/>
          <w:snapToGrid w:val="0"/>
          <w:color w:val="000000" w:themeColor="text1"/>
          <w:sz w:val="32"/>
          <w:szCs w:val="32"/>
          <w14:textFill>
            <w14:solidFill>
              <w14:schemeClr w14:val="tx1"/>
            </w14:solidFill>
          </w14:textFill>
        </w:rPr>
        <w:t>十三、重新招标</w:t>
      </w:r>
    </w:p>
    <w:p w14:paraId="20557D4B">
      <w:pPr>
        <w:spacing w:line="600" w:lineRule="exact"/>
        <w:ind w:firstLine="640" w:firstLineChars="200"/>
        <w:rPr>
          <w:rFonts w:ascii="方正仿宋_GBK" w:eastAsia="方正仿宋_GBK"/>
          <w:bCs/>
          <w:snapToGrid w:val="0"/>
          <w:color w:val="000000" w:themeColor="text1"/>
          <w:sz w:val="32"/>
          <w:szCs w:val="32"/>
          <w14:textFill>
            <w14:solidFill>
              <w14:schemeClr w14:val="tx1"/>
            </w14:solidFill>
          </w14:textFill>
        </w:rPr>
      </w:pPr>
      <w:r>
        <w:rPr>
          <w:rFonts w:hint="eastAsia" w:ascii="方正仿宋_GBK" w:eastAsia="方正仿宋_GBK"/>
          <w:bCs/>
          <w:snapToGrid w:val="0"/>
          <w:color w:val="000000" w:themeColor="text1"/>
          <w:sz w:val="32"/>
          <w:szCs w:val="32"/>
          <w14:textFill>
            <w14:solidFill>
              <w14:schemeClr w14:val="tx1"/>
            </w14:solidFill>
          </w14:textFill>
        </w:rPr>
        <w:t>有下列情形之一的，招标人将重新招标：</w:t>
      </w:r>
    </w:p>
    <w:p w14:paraId="0258E0E4">
      <w:pPr>
        <w:spacing w:line="600" w:lineRule="exact"/>
        <w:ind w:firstLine="640" w:firstLineChars="200"/>
        <w:rPr>
          <w:rFonts w:ascii="方正仿宋_GBK" w:eastAsia="方正仿宋_GBK"/>
          <w:bCs/>
          <w:snapToGrid w:val="0"/>
          <w:color w:val="000000" w:themeColor="text1"/>
          <w:sz w:val="32"/>
          <w:szCs w:val="32"/>
          <w14:textFill>
            <w14:solidFill>
              <w14:schemeClr w14:val="tx1"/>
            </w14:solidFill>
          </w14:textFill>
        </w:rPr>
      </w:pPr>
      <w:r>
        <w:rPr>
          <w:rFonts w:hint="eastAsia" w:ascii="方正仿宋_GBK" w:eastAsia="方正仿宋_GBK"/>
          <w:bCs/>
          <w:snapToGrid w:val="0"/>
          <w:color w:val="000000" w:themeColor="text1"/>
          <w:sz w:val="32"/>
          <w:szCs w:val="32"/>
          <w14:textFill>
            <w14:solidFill>
              <w14:schemeClr w14:val="tx1"/>
            </w14:solidFill>
          </w14:textFill>
        </w:rPr>
        <w:t>（一）投标截止时间止，投标人少于3个的；</w:t>
      </w:r>
    </w:p>
    <w:p w14:paraId="53609E2E">
      <w:pPr>
        <w:pStyle w:val="13"/>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eastAsia="方正仿宋_GBK"/>
          <w:bCs/>
          <w:snapToGrid w:val="0"/>
          <w:color w:val="000000" w:themeColor="text1"/>
          <w:sz w:val="32"/>
          <w:szCs w:val="32"/>
          <w14:textFill>
            <w14:solidFill>
              <w14:schemeClr w14:val="tx1"/>
            </w14:solidFill>
          </w14:textFill>
        </w:rPr>
        <w:t>（二）经评标委员会评审后投标人不足3家的，且经评标委员会认定不具竞争性的。</w:t>
      </w:r>
    </w:p>
    <w:p w14:paraId="228611B8">
      <w:pPr>
        <w:spacing w:line="580" w:lineRule="exact"/>
        <w:ind w:firstLine="640" w:firstLineChars="200"/>
        <w:rPr>
          <w:rFonts w:ascii="方正黑体_GBK" w:hAnsi="Times New Roman" w:eastAsia="方正黑体_GBK" w:cs="Times New Roman"/>
          <w:color w:val="000000" w:themeColor="text1"/>
          <w:sz w:val="32"/>
          <w:szCs w:val="32"/>
          <w14:textFill>
            <w14:solidFill>
              <w14:schemeClr w14:val="tx1"/>
            </w14:solidFill>
          </w14:textFill>
        </w:rPr>
      </w:pPr>
      <w:r>
        <w:rPr>
          <w:rFonts w:hint="eastAsia" w:ascii="方正黑体_GBK" w:hAnsi="Times New Roman" w:eastAsia="方正黑体_GBK" w:cs="Times New Roman"/>
          <w:color w:val="000000" w:themeColor="text1"/>
          <w:sz w:val="32"/>
          <w:szCs w:val="32"/>
          <w14:textFill>
            <w14:solidFill>
              <w14:schemeClr w14:val="tx1"/>
            </w14:solidFill>
          </w14:textFill>
        </w:rPr>
        <w:t>十四、附件</w:t>
      </w:r>
    </w:p>
    <w:p w14:paraId="2A3C58CC">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1、投标文件组成及格式</w:t>
      </w:r>
    </w:p>
    <w:p w14:paraId="662C3C97">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（1）投</w:t>
      </w:r>
      <w:r>
        <w:rPr>
          <w:rFonts w:ascii="方正仿宋_GBK" w:hAnsi="Times New Roman" w:eastAsia="方正仿宋_GBK" w:cs="Times New Roman"/>
          <w:color w:val="000000" w:themeColor="text1"/>
          <w:sz w:val="32"/>
          <w:szCs w:val="32"/>
          <w14:textFill>
            <w14:solidFill>
              <w14:schemeClr w14:val="tx1"/>
            </w14:solidFill>
          </w14:textFill>
        </w:rPr>
        <w:t>标函</w:t>
      </w:r>
    </w:p>
    <w:p w14:paraId="62951EC9">
      <w:pPr>
        <w:widowControl/>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hint="eastAsia" w:ascii="方正仿宋_GBK" w:hAnsi="Times New Roman" w:eastAsia="方正仿宋_GBK" w:cs="Times New Roman"/>
          <w:color w:val="000000" w:themeColor="text1"/>
          <w:sz w:val="32"/>
          <w:szCs w:val="32"/>
          <w14:textFill>
            <w14:solidFill>
              <w14:schemeClr w14:val="tx1"/>
            </w14:solidFill>
          </w14:textFill>
        </w:rPr>
        <w:t>（2）法定代表人身份证明书或委托证明书；</w:t>
      </w:r>
    </w:p>
    <w:p w14:paraId="291F3B09">
      <w:pPr>
        <w:spacing w:line="580" w:lineRule="exact"/>
        <w:ind w:firstLine="640" w:firstLineChars="200"/>
        <w:rPr>
          <w:rFonts w:ascii="方正仿宋_GBK" w:hAnsi="Times New Roman" w:eastAsia="方正仿宋_GBK" w:cs="Times New Roman"/>
          <w:color w:val="000000" w:themeColor="text1"/>
          <w:sz w:val="32"/>
          <w:szCs w:val="32"/>
          <w14:textFill>
            <w14:solidFill>
              <w14:schemeClr w14:val="tx1"/>
            </w14:solidFill>
          </w14:textFill>
        </w:rPr>
      </w:pPr>
      <w:r>
        <w:rPr>
          <w:rFonts w:ascii="方正仿宋_GBK" w:hAnsi="Times New Roman" w:eastAsia="方正仿宋_GBK" w:cs="Times New Roman"/>
          <w:color w:val="000000" w:themeColor="text1"/>
          <w:sz w:val="32"/>
          <w:szCs w:val="32"/>
          <w14:textFill>
            <w14:solidFill>
              <w14:schemeClr w14:val="tx1"/>
            </w14:solidFill>
          </w14:textFill>
        </w:rPr>
        <w:t>2</w:t>
      </w:r>
      <w:r>
        <w:rPr>
          <w:rFonts w:hint="eastAsia" w:ascii="方正仿宋_GBK" w:hAnsi="Times New Roman" w:eastAsia="方正仿宋_GBK" w:cs="Times New Roman"/>
          <w:color w:val="000000" w:themeColor="text1"/>
          <w:sz w:val="32"/>
          <w:szCs w:val="32"/>
          <w14:textFill>
            <w14:solidFill>
              <w14:schemeClr w14:val="tx1"/>
            </w14:solidFill>
          </w14:textFill>
        </w:rPr>
        <w:t>、合同协议书范本。</w:t>
      </w:r>
    </w:p>
    <w:p w14:paraId="099F2C44">
      <w:pPr>
        <w:widowControl/>
        <w:jc w:val="left"/>
        <w:rPr>
          <w:rFonts w:ascii="方正仿宋_GBK" w:hAnsi="宋体" w:eastAsia="方正仿宋_GBK"/>
          <w:bCs/>
          <w:snapToGrid w:val="0"/>
          <w:color w:val="000000" w:themeColor="text1"/>
          <w:sz w:val="32"/>
          <w:szCs w:val="32"/>
          <w14:textFill>
            <w14:solidFill>
              <w14:schemeClr w14:val="tx1"/>
            </w14:solidFill>
          </w14:textFill>
        </w:rPr>
      </w:pPr>
      <w:bookmarkStart w:id="5" w:name="_Toc354501715"/>
      <w:bookmarkStart w:id="6" w:name="_Toc287607865"/>
      <w:r>
        <w:rPr>
          <w:rFonts w:hint="eastAsia" w:ascii="方正仿宋_GBK" w:hAnsi="宋体" w:eastAsia="方正仿宋_GBK"/>
          <w:bCs/>
          <w:snapToGrid w:val="0"/>
          <w:color w:val="000000" w:themeColor="text1"/>
          <w:sz w:val="32"/>
          <w:szCs w:val="32"/>
          <w14:textFill>
            <w14:solidFill>
              <w14:schemeClr w14:val="tx1"/>
            </w14:solidFill>
          </w14:textFill>
        </w:rPr>
        <w:br w:type="page"/>
      </w:r>
    </w:p>
    <w:p w14:paraId="19F3D865">
      <w:pPr>
        <w:widowControl/>
        <w:jc w:val="left"/>
        <w:rPr>
          <w:rFonts w:ascii="方正小标宋_GBK" w:eastAsia="方正小标宋_GBK"/>
          <w:color w:val="000000" w:themeColor="text1"/>
          <w:sz w:val="32"/>
          <w:szCs w:val="32"/>
          <w14:textFill>
            <w14:solidFill>
              <w14:schemeClr w14:val="tx1"/>
            </w14:solidFill>
          </w14:textFill>
        </w:rPr>
      </w:pPr>
      <w:r>
        <w:rPr>
          <w:rFonts w:hint="eastAsia" w:ascii="方正小标宋_GBK" w:eastAsia="方正小标宋_GBK"/>
          <w:color w:val="000000" w:themeColor="text1"/>
          <w:sz w:val="32"/>
          <w:szCs w:val="32"/>
          <w14:textFill>
            <w14:solidFill>
              <w14:schemeClr w14:val="tx1"/>
            </w14:solidFill>
          </w14:textFill>
        </w:rPr>
        <w:t>附件1</w:t>
      </w:r>
    </w:p>
    <w:p w14:paraId="1E2A1227">
      <w:pPr>
        <w:spacing w:line="600" w:lineRule="exact"/>
        <w:ind w:firstLine="640" w:firstLineChars="200"/>
        <w:jc w:val="center"/>
        <w:rPr>
          <w:rFonts w:ascii="方正仿宋_GBK" w:hAnsi="宋体" w:eastAsia="方正仿宋_GBK"/>
          <w:bCs/>
          <w:snapToGrid w:val="0"/>
          <w:color w:val="000000" w:themeColor="text1"/>
          <w:sz w:val="32"/>
          <w:szCs w:val="32"/>
          <w14:textFill>
            <w14:solidFill>
              <w14:schemeClr w14:val="tx1"/>
            </w14:solidFill>
          </w14:textFill>
        </w:rPr>
      </w:pPr>
      <w:r>
        <w:rPr>
          <w:rFonts w:hint="eastAsia" w:ascii="方正小标宋_GBK" w:eastAsia="方正小标宋_GBK"/>
          <w:color w:val="000000" w:themeColor="text1"/>
          <w:sz w:val="32"/>
          <w:szCs w:val="32"/>
          <w14:textFill>
            <w14:solidFill>
              <w14:schemeClr w14:val="tx1"/>
            </w14:solidFill>
          </w14:textFill>
        </w:rPr>
        <w:t>报价文件组成及格式</w:t>
      </w:r>
      <w:bookmarkEnd w:id="5"/>
      <w:bookmarkEnd w:id="6"/>
    </w:p>
    <w:p w14:paraId="0DF9AE97">
      <w:pPr>
        <w:spacing w:line="600" w:lineRule="exact"/>
        <w:rPr>
          <w:rFonts w:ascii="方正黑体_GBK" w:eastAsia="方正黑体_GBK"/>
          <w:color w:val="000000" w:themeColor="text1"/>
          <w:sz w:val="28"/>
          <w:szCs w:val="28"/>
          <w14:textFill>
            <w14:solidFill>
              <w14:schemeClr w14:val="tx1"/>
            </w14:solidFill>
          </w14:textFill>
        </w:rPr>
      </w:pPr>
      <w:bookmarkStart w:id="7" w:name="招标文件07章技术标准和要求"/>
      <w:bookmarkEnd w:id="7"/>
      <w:bookmarkStart w:id="8" w:name="招标文件06章图纸01"/>
      <w:bookmarkEnd w:id="8"/>
      <w:bookmarkStart w:id="9" w:name="招标文件06章图纸"/>
      <w:bookmarkEnd w:id="9"/>
      <w:bookmarkStart w:id="10" w:name="第03卷"/>
      <w:bookmarkEnd w:id="10"/>
      <w:bookmarkStart w:id="11" w:name="第02卷"/>
      <w:bookmarkEnd w:id="11"/>
      <w:r>
        <w:rPr>
          <w:rFonts w:hint="eastAsia" w:ascii="方正黑体_GBK" w:eastAsia="方正黑体_GBK"/>
          <w:color w:val="000000" w:themeColor="text1"/>
          <w:sz w:val="28"/>
          <w:szCs w:val="28"/>
          <w14:textFill>
            <w14:solidFill>
              <w14:schemeClr w14:val="tx1"/>
            </w14:solidFill>
          </w14:textFill>
        </w:rPr>
        <w:t>一、报价函</w:t>
      </w:r>
    </w:p>
    <w:p w14:paraId="0727A4EA">
      <w:pPr>
        <w:tabs>
          <w:tab w:val="left" w:pos="2640"/>
        </w:tabs>
        <w:autoSpaceDE w:val="0"/>
        <w:autoSpaceDN w:val="0"/>
        <w:adjustRightInd w:val="0"/>
        <w:spacing w:line="600" w:lineRule="exact"/>
        <w:ind w:left="120" w:right="-20"/>
        <w:jc w:val="left"/>
        <w:rPr>
          <w:rFonts w:ascii="方正仿宋_GBK" w:hAnsi="宋体" w:eastAsia="方正仿宋_GBK" w:cs="MingLiU"/>
          <w:snapToGrid w:val="0"/>
          <w:color w:val="000000" w:themeColor="text1"/>
          <w:kern w:val="0"/>
          <w:sz w:val="28"/>
          <w:szCs w:val="28"/>
          <w:u w:val="single"/>
          <w14:textFill>
            <w14:solidFill>
              <w14:schemeClr w14:val="tx1"/>
            </w14:solidFill>
          </w14:textFill>
        </w:rPr>
      </w:pPr>
    </w:p>
    <w:p w14:paraId="305F399F">
      <w:pPr>
        <w:tabs>
          <w:tab w:val="left" w:pos="2655"/>
          <w:tab w:val="left" w:pos="3520"/>
          <w:tab w:val="left" w:pos="4920"/>
          <w:tab w:val="left" w:pos="5715"/>
          <w:tab w:val="left" w:pos="6945"/>
          <w:tab w:val="left" w:pos="7980"/>
        </w:tabs>
        <w:autoSpaceDE w:val="0"/>
        <w:autoSpaceDN w:val="0"/>
        <w:adjustRightInd w:val="0"/>
        <w:spacing w:line="600" w:lineRule="exact"/>
        <w:ind w:left="120" w:leftChars="57" w:right="94"/>
        <w:jc w:val="left"/>
        <w:rPr>
          <w:rFonts w:ascii="方正仿宋_GBK" w:hAnsi="宋体" w:eastAsia="方正仿宋_GBK" w:cs="MingLiU"/>
          <w:snapToGrid w:val="0"/>
          <w:color w:val="000000" w:themeColor="text1"/>
          <w:kern w:val="0"/>
          <w:sz w:val="28"/>
          <w:szCs w:val="28"/>
          <w:u w:val="single"/>
          <w14:textFill>
            <w14:solidFill>
              <w14:schemeClr w14:val="tx1"/>
            </w14:solidFill>
          </w14:textFill>
        </w:rPr>
      </w:pPr>
      <w:r>
        <w:rPr>
          <w:rFonts w:hint="eastAsia" w:ascii="方正仿宋_GBK" w:hAnsi="宋体" w:eastAsia="方正仿宋_GBK" w:cs="MingLiU"/>
          <w:snapToGrid w:val="0"/>
          <w:color w:val="000000" w:themeColor="text1"/>
          <w:kern w:val="0"/>
          <w:sz w:val="28"/>
          <w:szCs w:val="28"/>
          <w:u w:val="single"/>
          <w14:textFill>
            <w14:solidFill>
              <w14:schemeClr w14:val="tx1"/>
            </w14:solidFill>
          </w14:textFill>
        </w:rPr>
        <w:t>重庆九龙现代产业发展集团有限公司：</w:t>
      </w:r>
    </w:p>
    <w:p w14:paraId="4D929C6E">
      <w:pPr>
        <w:tabs>
          <w:tab w:val="left" w:pos="2655"/>
          <w:tab w:val="left" w:pos="3520"/>
          <w:tab w:val="left" w:pos="4920"/>
          <w:tab w:val="left" w:pos="5715"/>
          <w:tab w:val="left" w:pos="6945"/>
          <w:tab w:val="left" w:pos="7980"/>
        </w:tabs>
        <w:autoSpaceDE w:val="0"/>
        <w:autoSpaceDN w:val="0"/>
        <w:adjustRightInd w:val="0"/>
        <w:spacing w:line="600" w:lineRule="exact"/>
        <w:ind w:left="120" w:leftChars="57" w:right="94"/>
        <w:jc w:val="lef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snapToGrid w:val="0"/>
          <w:color w:val="000000" w:themeColor="text1"/>
          <w:kern w:val="0"/>
          <w:sz w:val="28"/>
          <w:szCs w:val="28"/>
          <w14:textFill>
            <w14:solidFill>
              <w14:schemeClr w14:val="tx1"/>
            </w14:solidFill>
          </w14:textFill>
        </w:rPr>
        <w:t>（一）</w:t>
      </w:r>
      <w:r>
        <w:rPr>
          <w:rFonts w:hint="eastAsia" w:ascii="方正仿宋_GBK" w:hAnsi="宋体" w:eastAsia="方正仿宋_GBK" w:cs="MingLiU"/>
          <w:snapToGrid w:val="0"/>
          <w:color w:val="000000" w:themeColor="text1"/>
          <w:kern w:val="0"/>
          <w:sz w:val="28"/>
          <w:szCs w:val="28"/>
          <w14:textFill>
            <w14:solidFill>
              <w14:schemeClr w14:val="tx1"/>
            </w14:solidFill>
          </w14:textFill>
        </w:rPr>
        <w:t>我方已仔细研究了</w:t>
      </w:r>
      <w:r>
        <w:rPr>
          <w:rFonts w:hint="eastAsia" w:ascii="方正仿宋_GBK" w:hAnsi="宋体" w:eastAsia="方正仿宋_GBK"/>
          <w:b/>
          <w:snapToGrid w:val="0"/>
          <w:color w:val="000000" w:themeColor="text1"/>
          <w:kern w:val="0"/>
          <w:sz w:val="28"/>
          <w:szCs w:val="28"/>
          <w:u w:val="single"/>
          <w14:textFill>
            <w14:solidFill>
              <w14:schemeClr w14:val="tx1"/>
            </w14:solidFill>
          </w14:textFill>
        </w:rPr>
        <w:t xml:space="preserve">                             </w:t>
      </w:r>
      <w:r>
        <w:rPr>
          <w:rFonts w:hint="eastAsia" w:ascii="方正仿宋_GBK" w:hAnsi="宋体" w:eastAsia="方正仿宋_GBK" w:cs="MingLiU"/>
          <w:snapToGrid w:val="0"/>
          <w:color w:val="000000" w:themeColor="text1"/>
          <w:kern w:val="0"/>
          <w:sz w:val="28"/>
          <w:szCs w:val="28"/>
          <w14:textFill>
            <w14:solidFill>
              <w14:schemeClr w14:val="tx1"/>
            </w14:solidFill>
          </w14:textFill>
        </w:rPr>
        <w:t xml:space="preserve">工程竞争性谈判文件的全部内容，愿意以 </w:t>
      </w:r>
      <w:r>
        <w:rPr>
          <w:rFonts w:hint="eastAsia" w:ascii="方正仿宋_GBK" w:hAnsi="宋体" w:eastAsia="方正仿宋_GBK" w:cs="MingLiU"/>
          <w:snapToGrid w:val="0"/>
          <w:color w:val="000000" w:themeColor="text1"/>
          <w:kern w:val="0"/>
          <w:sz w:val="28"/>
          <w:szCs w:val="28"/>
          <w:u w:val="single"/>
          <w14:textFill>
            <w14:solidFill>
              <w14:schemeClr w14:val="tx1"/>
            </w14:solidFill>
          </w14:textFill>
        </w:rPr>
        <w:t xml:space="preserve">            </w:t>
      </w:r>
      <w:r>
        <w:rPr>
          <w:rFonts w:hint="eastAsia" w:ascii="方正仿宋_GBK" w:hAnsi="宋体" w:eastAsia="方正仿宋_GBK" w:cs="MingLiU"/>
          <w:snapToGrid w:val="0"/>
          <w:color w:val="000000" w:themeColor="text1"/>
          <w:kern w:val="0"/>
          <w:sz w:val="28"/>
          <w:szCs w:val="28"/>
          <w14:textFill>
            <w14:solidFill>
              <w14:schemeClr w14:val="tx1"/>
            </w14:solidFill>
          </w14:textFill>
        </w:rPr>
        <w:t>的总报价，工期</w:t>
      </w:r>
      <w:r>
        <w:rPr>
          <w:rFonts w:hint="eastAsia" w:ascii="方正仿宋_GBK" w:hAnsi="宋体" w:eastAsia="方正仿宋_GBK" w:cs="MingLiU"/>
          <w:snapToGrid w:val="0"/>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snapToGrid w:val="0"/>
          <w:color w:val="000000" w:themeColor="text1"/>
          <w:kern w:val="0"/>
          <w:sz w:val="28"/>
          <w:szCs w:val="28"/>
          <w14:textFill>
            <w14:solidFill>
              <w14:schemeClr w14:val="tx1"/>
            </w14:solidFill>
          </w14:textFill>
        </w:rPr>
        <w:t>日历天，按合同约定完成工程。</w:t>
      </w:r>
    </w:p>
    <w:p w14:paraId="67CEDED6">
      <w:pPr>
        <w:autoSpaceDE w:val="0"/>
        <w:autoSpaceDN w:val="0"/>
        <w:adjustRightInd w:val="0"/>
        <w:spacing w:before="15" w:line="600" w:lineRule="exact"/>
        <w:ind w:right="-20"/>
        <w:jc w:val="lef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snapToGrid w:val="0"/>
          <w:color w:val="000000" w:themeColor="text1"/>
          <w:kern w:val="0"/>
          <w:sz w:val="28"/>
          <w:szCs w:val="28"/>
          <w14:textFill>
            <w14:solidFill>
              <w14:schemeClr w14:val="tx1"/>
            </w14:solidFill>
          </w14:textFill>
        </w:rPr>
        <w:t>（二）</w:t>
      </w:r>
      <w:r>
        <w:rPr>
          <w:rFonts w:hint="eastAsia" w:ascii="方正仿宋_GBK" w:hAnsi="宋体" w:eastAsia="方正仿宋_GBK" w:cs="MingLiU"/>
          <w:snapToGrid w:val="0"/>
          <w:color w:val="000000" w:themeColor="text1"/>
          <w:kern w:val="0"/>
          <w:sz w:val="28"/>
          <w:szCs w:val="28"/>
          <w14:textFill>
            <w14:solidFill>
              <w14:schemeClr w14:val="tx1"/>
            </w14:solidFill>
          </w14:textFill>
        </w:rPr>
        <w:t>我方承诺在询价有效期内不修改、撤销报价文件。</w:t>
      </w:r>
    </w:p>
    <w:p w14:paraId="73AF6E2C">
      <w:pPr>
        <w:autoSpaceDE w:val="0"/>
        <w:autoSpaceDN w:val="0"/>
        <w:adjustRightInd w:val="0"/>
        <w:spacing w:line="600" w:lineRule="exact"/>
        <w:ind w:right="-20"/>
        <w:jc w:val="lef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snapToGrid w:val="0"/>
          <w:color w:val="000000" w:themeColor="text1"/>
          <w:kern w:val="0"/>
          <w:sz w:val="28"/>
          <w:szCs w:val="28"/>
          <w14:textFill>
            <w14:solidFill>
              <w14:schemeClr w14:val="tx1"/>
            </w14:solidFill>
          </w14:textFill>
        </w:rPr>
        <w:t>（三）</w:t>
      </w:r>
      <w:r>
        <w:rPr>
          <w:rFonts w:hint="eastAsia" w:ascii="方正仿宋_GBK" w:hAnsi="宋体" w:eastAsia="方正仿宋_GBK" w:cs="MingLiU"/>
          <w:snapToGrid w:val="0"/>
          <w:color w:val="000000" w:themeColor="text1"/>
          <w:kern w:val="0"/>
          <w:sz w:val="28"/>
          <w:szCs w:val="28"/>
          <w14:textFill>
            <w14:solidFill>
              <w14:schemeClr w14:val="tx1"/>
            </w14:solidFill>
          </w14:textFill>
        </w:rPr>
        <w:t>如双方成交：</w:t>
      </w:r>
    </w:p>
    <w:p w14:paraId="0B0D19F9">
      <w:pPr>
        <w:autoSpaceDE w:val="0"/>
        <w:autoSpaceDN w:val="0"/>
        <w:adjustRightInd w:val="0"/>
        <w:spacing w:line="600" w:lineRule="exact"/>
        <w:ind w:right="-80"/>
        <w:jc w:val="lef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cs="MingLiU"/>
          <w:snapToGrid w:val="0"/>
          <w:color w:val="000000" w:themeColor="text1"/>
          <w:kern w:val="0"/>
          <w:sz w:val="28"/>
          <w:szCs w:val="28"/>
          <w14:textFill>
            <w14:solidFill>
              <w14:schemeClr w14:val="tx1"/>
            </w14:solidFill>
          </w14:textFill>
        </w:rPr>
        <w:t>（</w:t>
      </w:r>
      <w:r>
        <w:rPr>
          <w:rFonts w:hint="eastAsia" w:ascii="方正仿宋_GBK" w:hAnsi="宋体" w:eastAsia="方正仿宋_GBK"/>
          <w:snapToGrid w:val="0"/>
          <w:color w:val="000000" w:themeColor="text1"/>
          <w:kern w:val="0"/>
          <w:sz w:val="28"/>
          <w:szCs w:val="28"/>
          <w14:textFill>
            <w14:solidFill>
              <w14:schemeClr w14:val="tx1"/>
            </w14:solidFill>
          </w14:textFill>
        </w:rPr>
        <w:t>1</w:t>
      </w:r>
      <w:r>
        <w:rPr>
          <w:rFonts w:hint="eastAsia" w:ascii="方正仿宋_GBK" w:hAnsi="宋体" w:eastAsia="方正仿宋_GBK" w:cs="MingLiU"/>
          <w:snapToGrid w:val="0"/>
          <w:color w:val="000000" w:themeColor="text1"/>
          <w:kern w:val="0"/>
          <w:sz w:val="28"/>
          <w:szCs w:val="28"/>
          <w14:textFill>
            <w14:solidFill>
              <w14:schemeClr w14:val="tx1"/>
            </w14:solidFill>
          </w14:textFill>
        </w:rPr>
        <w:t>）我方承诺在收到成交确认书后，在确认书规定的期限内与你方签订合同。</w:t>
      </w:r>
    </w:p>
    <w:p w14:paraId="06C488C8">
      <w:pPr>
        <w:autoSpaceDE w:val="0"/>
        <w:autoSpaceDN w:val="0"/>
        <w:adjustRightInd w:val="0"/>
        <w:spacing w:line="600" w:lineRule="exact"/>
        <w:ind w:right="-20"/>
        <w:jc w:val="lef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cs="MingLiU"/>
          <w:snapToGrid w:val="0"/>
          <w:color w:val="000000" w:themeColor="text1"/>
          <w:kern w:val="0"/>
          <w:sz w:val="28"/>
          <w:szCs w:val="28"/>
          <w14:textFill>
            <w14:solidFill>
              <w14:schemeClr w14:val="tx1"/>
            </w14:solidFill>
          </w14:textFill>
        </w:rPr>
        <w:t>（</w:t>
      </w:r>
      <w:r>
        <w:rPr>
          <w:rFonts w:hint="eastAsia" w:ascii="方正仿宋_GBK" w:hAnsi="宋体" w:eastAsia="方正仿宋_GBK"/>
          <w:snapToGrid w:val="0"/>
          <w:color w:val="000000" w:themeColor="text1"/>
          <w:kern w:val="0"/>
          <w:sz w:val="28"/>
          <w:szCs w:val="28"/>
          <w14:textFill>
            <w14:solidFill>
              <w14:schemeClr w14:val="tx1"/>
            </w14:solidFill>
          </w14:textFill>
        </w:rPr>
        <w:t>2</w:t>
      </w:r>
      <w:r>
        <w:rPr>
          <w:rFonts w:hint="eastAsia" w:ascii="方正仿宋_GBK" w:hAnsi="宋体" w:eastAsia="方正仿宋_GBK" w:cs="MingLiU"/>
          <w:snapToGrid w:val="0"/>
          <w:color w:val="000000" w:themeColor="text1"/>
          <w:kern w:val="0"/>
          <w:sz w:val="28"/>
          <w:szCs w:val="28"/>
          <w14:textFill>
            <w14:solidFill>
              <w14:schemeClr w14:val="tx1"/>
            </w14:solidFill>
          </w14:textFill>
        </w:rPr>
        <w:t>）随同本报价函递交的报价函附录属于合同文件的组成部分。</w:t>
      </w:r>
    </w:p>
    <w:p w14:paraId="3CFB887F">
      <w:pPr>
        <w:autoSpaceDE w:val="0"/>
        <w:autoSpaceDN w:val="0"/>
        <w:adjustRightInd w:val="0"/>
        <w:spacing w:line="600" w:lineRule="exact"/>
        <w:ind w:right="-20"/>
        <w:jc w:val="lef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cs="MingLiU"/>
          <w:snapToGrid w:val="0"/>
          <w:color w:val="000000" w:themeColor="text1"/>
          <w:kern w:val="0"/>
          <w:sz w:val="28"/>
          <w:szCs w:val="28"/>
          <w14:textFill>
            <w14:solidFill>
              <w14:schemeClr w14:val="tx1"/>
            </w14:solidFill>
          </w14:textFill>
        </w:rPr>
        <w:t>（</w:t>
      </w:r>
      <w:r>
        <w:rPr>
          <w:rFonts w:hint="eastAsia" w:ascii="方正仿宋_GBK" w:hAnsi="宋体" w:eastAsia="方正仿宋_GBK"/>
          <w:snapToGrid w:val="0"/>
          <w:color w:val="000000" w:themeColor="text1"/>
          <w:kern w:val="0"/>
          <w:sz w:val="28"/>
          <w:szCs w:val="28"/>
          <w14:textFill>
            <w14:solidFill>
              <w14:schemeClr w14:val="tx1"/>
            </w14:solidFill>
          </w14:textFill>
        </w:rPr>
        <w:t>3</w:t>
      </w:r>
      <w:r>
        <w:rPr>
          <w:rFonts w:hint="eastAsia" w:ascii="方正仿宋_GBK" w:hAnsi="宋体" w:eastAsia="方正仿宋_GBK" w:cs="MingLiU"/>
          <w:snapToGrid w:val="0"/>
          <w:color w:val="000000" w:themeColor="text1"/>
          <w:kern w:val="0"/>
          <w:sz w:val="28"/>
          <w:szCs w:val="28"/>
          <w14:textFill>
            <w14:solidFill>
              <w14:schemeClr w14:val="tx1"/>
            </w14:solidFill>
          </w14:textFill>
        </w:rPr>
        <w:t>）我方承诺在合同约定的期限内完成并移交全部合同工程。</w:t>
      </w:r>
    </w:p>
    <w:p w14:paraId="77078645">
      <w:pPr>
        <w:autoSpaceDE w:val="0"/>
        <w:autoSpaceDN w:val="0"/>
        <w:adjustRightInd w:val="0"/>
        <w:spacing w:line="600" w:lineRule="exact"/>
        <w:ind w:right="-9"/>
        <w:jc w:val="lef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snapToGrid w:val="0"/>
          <w:color w:val="000000" w:themeColor="text1"/>
          <w:kern w:val="0"/>
          <w:sz w:val="28"/>
          <w:szCs w:val="28"/>
          <w14:textFill>
            <w14:solidFill>
              <w14:schemeClr w14:val="tx1"/>
            </w14:solidFill>
          </w14:textFill>
        </w:rPr>
        <w:t>（四）</w:t>
      </w:r>
      <w:r>
        <w:rPr>
          <w:rFonts w:hint="eastAsia" w:ascii="方正仿宋_GBK" w:hAnsi="宋体" w:eastAsia="方正仿宋_GBK" w:cs="MingLiU"/>
          <w:snapToGrid w:val="0"/>
          <w:color w:val="000000" w:themeColor="text1"/>
          <w:kern w:val="0"/>
          <w:sz w:val="28"/>
          <w:szCs w:val="28"/>
          <w14:textFill>
            <w14:solidFill>
              <w14:schemeClr w14:val="tx1"/>
            </w14:solidFill>
          </w14:textFill>
        </w:rPr>
        <w:t>我方在此声明，所递交的报价文件及有关资料内容完整、真实和准确。</w:t>
      </w:r>
    </w:p>
    <w:p w14:paraId="1DAF50EF">
      <w:pPr>
        <w:tabs>
          <w:tab w:val="left" w:pos="4940"/>
        </w:tabs>
        <w:autoSpaceDE w:val="0"/>
        <w:autoSpaceDN w:val="0"/>
        <w:adjustRightInd w:val="0"/>
        <w:spacing w:line="600" w:lineRule="exact"/>
        <w:ind w:right="-20"/>
        <w:jc w:val="lef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snapToGrid w:val="0"/>
          <w:color w:val="000000" w:themeColor="text1"/>
          <w:kern w:val="0"/>
          <w:sz w:val="28"/>
          <w:szCs w:val="28"/>
          <w14:textFill>
            <w14:solidFill>
              <w14:schemeClr w14:val="tx1"/>
            </w14:solidFill>
          </w14:textFill>
        </w:rPr>
        <w:t>（五）</w:t>
      </w:r>
      <w:r>
        <w:rPr>
          <w:rFonts w:hint="eastAsia" w:ascii="方正仿宋_GBK" w:hAnsi="宋体" w:eastAsia="方正仿宋_GBK" w:cs="MingLiU"/>
          <w:snapToGrid w:val="0"/>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snapToGrid w:val="0"/>
          <w:color w:val="000000" w:themeColor="text1"/>
          <w:kern w:val="0"/>
          <w:sz w:val="28"/>
          <w:szCs w:val="28"/>
          <w:u w:val="single"/>
          <w14:textFill>
            <w14:solidFill>
              <w14:schemeClr w14:val="tx1"/>
            </w14:solidFill>
          </w14:textFill>
        </w:rPr>
        <w:tab/>
      </w:r>
      <w:r>
        <w:rPr>
          <w:rFonts w:hint="eastAsia" w:ascii="方正仿宋_GBK" w:hAnsi="宋体" w:eastAsia="方正仿宋_GBK" w:cs="MingLiU"/>
          <w:snapToGrid w:val="0"/>
          <w:color w:val="000000" w:themeColor="text1"/>
          <w:kern w:val="0"/>
          <w:sz w:val="28"/>
          <w:szCs w:val="28"/>
          <w14:textFill>
            <w14:solidFill>
              <w14:schemeClr w14:val="tx1"/>
            </w14:solidFill>
          </w14:textFill>
        </w:rPr>
        <w:t>（其他补充说明）。</w:t>
      </w:r>
    </w:p>
    <w:p w14:paraId="5FF98627">
      <w:pPr>
        <w:tabs>
          <w:tab w:val="left" w:pos="7140"/>
          <w:tab w:val="left" w:pos="7560"/>
          <w:tab w:val="left" w:pos="8300"/>
        </w:tabs>
        <w:autoSpaceDE w:val="0"/>
        <w:autoSpaceDN w:val="0"/>
        <w:adjustRightInd w:val="0"/>
        <w:spacing w:line="600" w:lineRule="exact"/>
        <w:ind w:right="770"/>
        <w:jc w:val="righ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cs="MingLiU"/>
          <w:snapToGrid w:val="0"/>
          <w:color w:val="000000" w:themeColor="text1"/>
          <w:kern w:val="0"/>
          <w:sz w:val="28"/>
          <w:szCs w:val="28"/>
          <w14:textFill>
            <w14:solidFill>
              <w14:schemeClr w14:val="tx1"/>
            </w14:solidFill>
          </w14:textFill>
        </w:rPr>
        <w:t>报价人：</w:t>
      </w:r>
      <w:r>
        <w:rPr>
          <w:rFonts w:hint="eastAsia" w:ascii="方正仿宋_GBK" w:hAnsi="宋体" w:eastAsia="方正仿宋_GBK" w:cs="MingLiU"/>
          <w:snapToGrid w:val="0"/>
          <w:color w:val="000000" w:themeColor="text1"/>
          <w:kern w:val="0"/>
          <w:sz w:val="28"/>
          <w:szCs w:val="28"/>
          <w:u w:val="single"/>
          <w14:textFill>
            <w14:solidFill>
              <w14:schemeClr w14:val="tx1"/>
            </w14:solidFill>
          </w14:textFill>
        </w:rPr>
        <w:t xml:space="preserve"> 　　　　</w:t>
      </w:r>
      <w:r>
        <w:rPr>
          <w:rFonts w:hint="eastAsia" w:ascii="方正仿宋_GBK" w:hAnsi="宋体" w:eastAsia="方正仿宋_GBK" w:cs="MingLiU"/>
          <w:snapToGrid w:val="0"/>
          <w:color w:val="000000" w:themeColor="text1"/>
          <w:kern w:val="0"/>
          <w:sz w:val="28"/>
          <w:szCs w:val="28"/>
          <w14:textFill>
            <w14:solidFill>
              <w14:schemeClr w14:val="tx1"/>
            </w14:solidFill>
          </w14:textFill>
        </w:rPr>
        <w:t>（盖单位章）</w:t>
      </w:r>
    </w:p>
    <w:p w14:paraId="4089212B">
      <w:pPr>
        <w:tabs>
          <w:tab w:val="left" w:pos="7140"/>
          <w:tab w:val="left" w:pos="7560"/>
          <w:tab w:val="left" w:pos="8300"/>
        </w:tabs>
        <w:autoSpaceDE w:val="0"/>
        <w:autoSpaceDN w:val="0"/>
        <w:adjustRightInd w:val="0"/>
        <w:spacing w:line="600" w:lineRule="exact"/>
        <w:ind w:right="910" w:firstLine="4760" w:firstLineChars="1700"/>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cs="MingLiU"/>
          <w:snapToGrid w:val="0"/>
          <w:color w:val="000000" w:themeColor="text1"/>
          <w:kern w:val="0"/>
          <w:sz w:val="28"/>
          <w:szCs w:val="28"/>
          <w14:textFill>
            <w14:solidFill>
              <w14:schemeClr w14:val="tx1"/>
            </w14:solidFill>
          </w14:textFill>
        </w:rPr>
        <w:t>地址：</w:t>
      </w:r>
    </w:p>
    <w:p w14:paraId="6FC7F6F8">
      <w:pPr>
        <w:tabs>
          <w:tab w:val="left" w:pos="8300"/>
        </w:tabs>
        <w:autoSpaceDE w:val="0"/>
        <w:autoSpaceDN w:val="0"/>
        <w:adjustRightInd w:val="0"/>
        <w:spacing w:line="600" w:lineRule="exact"/>
        <w:ind w:right="1100" w:firstLine="4760" w:firstLineChars="1700"/>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cs="MingLiU"/>
          <w:snapToGrid w:val="0"/>
          <w:color w:val="000000" w:themeColor="text1"/>
          <w:kern w:val="0"/>
          <w:sz w:val="28"/>
          <w:szCs w:val="28"/>
          <w14:textFill>
            <w14:solidFill>
              <w14:schemeClr w14:val="tx1"/>
            </w14:solidFill>
          </w14:textFill>
        </w:rPr>
        <w:t>电话：</w:t>
      </w:r>
      <w:r>
        <w:rPr>
          <w:rFonts w:ascii="方正仿宋_GBK" w:hAnsi="宋体" w:eastAsia="方正仿宋_GBK" w:cs="MingLiU"/>
          <w:snapToGrid w:val="0"/>
          <w:color w:val="000000" w:themeColor="text1"/>
          <w:kern w:val="0"/>
          <w:sz w:val="28"/>
          <w:szCs w:val="28"/>
          <w14:textFill>
            <w14:solidFill>
              <w14:schemeClr w14:val="tx1"/>
            </w14:solidFill>
          </w14:textFill>
        </w:rPr>
        <w:t xml:space="preserve"> </w:t>
      </w:r>
    </w:p>
    <w:p w14:paraId="5160033A">
      <w:pPr>
        <w:tabs>
          <w:tab w:val="left" w:pos="6000"/>
          <w:tab w:val="left" w:pos="7040"/>
          <w:tab w:val="left" w:pos="8100"/>
        </w:tabs>
        <w:autoSpaceDE w:val="0"/>
        <w:autoSpaceDN w:val="0"/>
        <w:adjustRightInd w:val="0"/>
        <w:spacing w:line="600" w:lineRule="exact"/>
        <w:ind w:right="-23" w:firstLine="3920" w:firstLineChars="1400"/>
        <w:jc w:val="right"/>
        <w:rPr>
          <w:rFonts w:ascii="方正仿宋_GBK" w:hAnsi="宋体" w:eastAsia="方正仿宋_GBK" w:cs="MingLiU"/>
          <w:snapToGrid w:val="0"/>
          <w:color w:val="000000" w:themeColor="text1"/>
          <w:kern w:val="0"/>
          <w:sz w:val="28"/>
          <w:szCs w:val="28"/>
          <w14:textFill>
            <w14:solidFill>
              <w14:schemeClr w14:val="tx1"/>
            </w14:solidFill>
          </w14:textFill>
        </w:rPr>
      </w:pPr>
      <w:r>
        <w:rPr>
          <w:rFonts w:hint="eastAsia" w:ascii="方正仿宋_GBK" w:hAnsi="宋体" w:eastAsia="方正仿宋_GBK" w:cs="MingLiU"/>
          <w:snapToGrid w:val="0"/>
          <w:color w:val="000000" w:themeColor="text1"/>
          <w:kern w:val="0"/>
          <w:sz w:val="28"/>
          <w:szCs w:val="28"/>
          <w:u w:val="single"/>
          <w14:textFill>
            <w14:solidFill>
              <w14:schemeClr w14:val="tx1"/>
            </w14:solidFill>
          </w14:textFill>
        </w:rPr>
        <w:t xml:space="preserve">        </w:t>
      </w:r>
      <w:r>
        <w:rPr>
          <w:rFonts w:hint="eastAsia" w:ascii="方正仿宋_GBK" w:hAnsi="宋体" w:eastAsia="方正仿宋_GBK" w:cs="MingLiU"/>
          <w:snapToGrid w:val="0"/>
          <w:color w:val="000000" w:themeColor="text1"/>
          <w:kern w:val="0"/>
          <w:sz w:val="28"/>
          <w:szCs w:val="28"/>
          <w14:textFill>
            <w14:solidFill>
              <w14:schemeClr w14:val="tx1"/>
            </w14:solidFill>
          </w14:textFill>
        </w:rPr>
        <w:t>年</w:t>
      </w:r>
      <w:r>
        <w:rPr>
          <w:rFonts w:hint="eastAsia" w:ascii="方正仿宋_GBK" w:hAnsi="宋体" w:eastAsia="方正仿宋_GBK" w:cs="MingLiU"/>
          <w:snapToGrid w:val="0"/>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snapToGrid w:val="0"/>
          <w:color w:val="000000" w:themeColor="text1"/>
          <w:kern w:val="0"/>
          <w:sz w:val="28"/>
          <w:szCs w:val="28"/>
          <w14:textFill>
            <w14:solidFill>
              <w14:schemeClr w14:val="tx1"/>
            </w14:solidFill>
          </w14:textFill>
        </w:rPr>
        <w:t>月</w:t>
      </w:r>
      <w:r>
        <w:rPr>
          <w:rFonts w:hint="eastAsia" w:ascii="方正仿宋_GBK" w:hAnsi="宋体" w:eastAsia="方正仿宋_GBK" w:cs="MingLiU"/>
          <w:snapToGrid w:val="0"/>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snapToGrid w:val="0"/>
          <w:color w:val="000000" w:themeColor="text1"/>
          <w:kern w:val="0"/>
          <w:sz w:val="28"/>
          <w:szCs w:val="28"/>
          <w14:textFill>
            <w14:solidFill>
              <w14:schemeClr w14:val="tx1"/>
            </w14:solidFill>
          </w14:textFill>
        </w:rPr>
        <w:t>日</w:t>
      </w:r>
      <w:bookmarkStart w:id="12" w:name="_Toc277082645"/>
      <w:bookmarkStart w:id="13" w:name="_Toc287607869"/>
      <w:bookmarkStart w:id="14" w:name="_Toc16220"/>
      <w:bookmarkStart w:id="15" w:name="_Toc224103497"/>
      <w:bookmarkStart w:id="16" w:name="_Toc287607873"/>
      <w:bookmarkStart w:id="17" w:name="_Toc354501721"/>
      <w:bookmarkStart w:id="18" w:name="_Toc277082648"/>
      <w:bookmarkStart w:id="19" w:name="_Toc224103501"/>
    </w:p>
    <w:p w14:paraId="7036B444">
      <w:pPr>
        <w:spacing w:line="600" w:lineRule="exact"/>
        <w:jc w:val="left"/>
        <w:rPr>
          <w:rFonts w:ascii="方正黑体_GBK" w:eastAsia="方正黑体_GBK"/>
          <w:color w:val="000000" w:themeColor="text1"/>
          <w:sz w:val="28"/>
          <w:szCs w:val="28"/>
          <w14:textFill>
            <w14:solidFill>
              <w14:schemeClr w14:val="tx1"/>
            </w14:solidFill>
          </w14:textFill>
        </w:rPr>
      </w:pPr>
      <w:r>
        <w:rPr>
          <w:rFonts w:hint="eastAsia" w:ascii="方正黑体_GBK" w:eastAsia="方正黑体_GBK"/>
          <w:color w:val="000000" w:themeColor="text1"/>
          <w:sz w:val="28"/>
          <w:szCs w:val="28"/>
          <w14:textFill>
            <w14:solidFill>
              <w14:schemeClr w14:val="tx1"/>
            </w14:solidFill>
          </w14:textFill>
        </w:rPr>
        <w:t>二、 法定代表人身份证明及授权委托书</w:t>
      </w:r>
      <w:bookmarkEnd w:id="12"/>
      <w:bookmarkEnd w:id="13"/>
      <w:bookmarkEnd w:id="14"/>
      <w:bookmarkEnd w:id="15"/>
    </w:p>
    <w:p w14:paraId="5B38EB96">
      <w:pPr>
        <w:spacing w:line="600" w:lineRule="exact"/>
        <w:jc w:val="center"/>
        <w:rPr>
          <w:rFonts w:ascii="方正仿宋_GBK" w:eastAsia="方正仿宋_GBK"/>
          <w:b/>
          <w:color w:val="000000" w:themeColor="text1"/>
          <w:sz w:val="28"/>
          <w:szCs w:val="28"/>
          <w14:textFill>
            <w14:solidFill>
              <w14:schemeClr w14:val="tx1"/>
            </w14:solidFill>
          </w14:textFill>
        </w:rPr>
      </w:pPr>
      <w:r>
        <w:rPr>
          <w:rFonts w:hint="eastAsia" w:ascii="方正仿宋_GBK" w:hAnsi="宋体" w:eastAsia="方正仿宋_GBK"/>
          <w:b/>
          <w:color w:val="000000" w:themeColor="text1"/>
          <w:sz w:val="28"/>
          <w:szCs w:val="28"/>
          <w14:textFill>
            <w14:solidFill>
              <w14:schemeClr w14:val="tx1"/>
            </w14:solidFill>
          </w14:textFill>
        </w:rPr>
        <w:t>（一）法定代表人身份证明</w:t>
      </w:r>
    </w:p>
    <w:p w14:paraId="645B0F9F">
      <w:pPr>
        <w:tabs>
          <w:tab w:val="left" w:pos="5565"/>
        </w:tabs>
        <w:autoSpaceDE w:val="0"/>
        <w:autoSpaceDN w:val="0"/>
        <w:adjustRightInd w:val="0"/>
        <w:snapToGrid w:val="0"/>
        <w:spacing w:line="600" w:lineRule="exact"/>
        <w:rPr>
          <w:rFonts w:ascii="方正仿宋_GBK" w:hAnsi="宋体" w:eastAsia="方正仿宋_GBK" w:cs="MingLiU"/>
          <w:color w:val="000000" w:themeColor="text1"/>
          <w:kern w:val="0"/>
          <w:sz w:val="28"/>
          <w:szCs w:val="28"/>
          <w14:textFill>
            <w14:solidFill>
              <w14:schemeClr w14:val="tx1"/>
            </w14:solidFill>
          </w14:textFill>
        </w:rPr>
      </w:pPr>
    </w:p>
    <w:p w14:paraId="0907C81D">
      <w:pPr>
        <w:tabs>
          <w:tab w:val="left" w:pos="5565"/>
        </w:tabs>
        <w:autoSpaceDE w:val="0"/>
        <w:autoSpaceDN w:val="0"/>
        <w:adjustRightInd w:val="0"/>
        <w:snapToGrid w:val="0"/>
        <w:spacing w:line="600" w:lineRule="exac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投标人名称：</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p>
    <w:p w14:paraId="5A4E1F0A">
      <w:pPr>
        <w:tabs>
          <w:tab w:val="left" w:pos="5475"/>
        </w:tabs>
        <w:autoSpaceDE w:val="0"/>
        <w:autoSpaceDN w:val="0"/>
        <w:adjustRightInd w:val="0"/>
        <w:snapToGrid w:val="0"/>
        <w:spacing w:line="600" w:lineRule="exac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单位性质：</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p>
    <w:p w14:paraId="0A8B3850">
      <w:pPr>
        <w:tabs>
          <w:tab w:val="left" w:pos="5475"/>
        </w:tabs>
        <w:autoSpaceDE w:val="0"/>
        <w:autoSpaceDN w:val="0"/>
        <w:adjustRightInd w:val="0"/>
        <w:snapToGrid w:val="0"/>
        <w:spacing w:line="600" w:lineRule="exac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地址：</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p>
    <w:p w14:paraId="09BA092E">
      <w:pPr>
        <w:tabs>
          <w:tab w:val="left" w:pos="2520"/>
          <w:tab w:val="left" w:pos="3836"/>
        </w:tabs>
        <w:autoSpaceDE w:val="0"/>
        <w:autoSpaceDN w:val="0"/>
        <w:adjustRightInd w:val="0"/>
        <w:snapToGrid w:val="0"/>
        <w:spacing w:line="600" w:lineRule="exac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成立时间：</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olor w:val="000000" w:themeColor="text1"/>
          <w:kern w:val="0"/>
          <w:sz w:val="28"/>
          <w:szCs w:val="28"/>
          <w14:textFill>
            <w14:solidFill>
              <w14:schemeClr w14:val="tx1"/>
            </w14:solidFill>
          </w14:textFill>
        </w:rPr>
        <w:t xml:space="preserve"> </w:t>
      </w:r>
      <w:r>
        <w:rPr>
          <w:rFonts w:hint="eastAsia" w:ascii="方正仿宋_GBK" w:hAnsi="宋体" w:eastAsia="方正仿宋_GBK" w:cs="MingLiU"/>
          <w:color w:val="000000" w:themeColor="text1"/>
          <w:spacing w:val="-1"/>
          <w:kern w:val="0"/>
          <w:sz w:val="28"/>
          <w:szCs w:val="28"/>
          <w14:textFill>
            <w14:solidFill>
              <w14:schemeClr w14:val="tx1"/>
            </w14:solidFill>
          </w14:textFill>
        </w:rPr>
        <w:t>年</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olor w:val="000000" w:themeColor="text1"/>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14:textFill>
            <w14:solidFill>
              <w14:schemeClr w14:val="tx1"/>
            </w14:solidFill>
          </w14:textFill>
        </w:rPr>
        <w:t xml:space="preserve"> </w:t>
      </w:r>
      <w:r>
        <w:rPr>
          <w:rFonts w:hint="eastAsia" w:ascii="方正仿宋_GBK" w:hAnsi="宋体" w:eastAsia="方正仿宋_GBK" w:cs="MingLiU"/>
          <w:color w:val="000000" w:themeColor="text1"/>
          <w:spacing w:val="-1"/>
          <w:kern w:val="0"/>
          <w:sz w:val="28"/>
          <w:szCs w:val="28"/>
          <w14:textFill>
            <w14:solidFill>
              <w14:schemeClr w14:val="tx1"/>
            </w14:solidFill>
          </w14:textFill>
        </w:rPr>
        <w:t>月</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日</w:t>
      </w:r>
    </w:p>
    <w:p w14:paraId="2398E792">
      <w:pPr>
        <w:tabs>
          <w:tab w:val="left" w:pos="5475"/>
        </w:tabs>
        <w:autoSpaceDE w:val="0"/>
        <w:autoSpaceDN w:val="0"/>
        <w:adjustRightInd w:val="0"/>
        <w:snapToGrid w:val="0"/>
        <w:spacing w:line="600" w:lineRule="exac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经营期限：</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p>
    <w:p w14:paraId="58EC749A">
      <w:pPr>
        <w:tabs>
          <w:tab w:val="left" w:pos="1580"/>
          <w:tab w:val="left" w:pos="3260"/>
          <w:tab w:val="left" w:pos="4840"/>
          <w:tab w:val="left" w:pos="6300"/>
        </w:tabs>
        <w:autoSpaceDE w:val="0"/>
        <w:autoSpaceDN w:val="0"/>
        <w:adjustRightInd w:val="0"/>
        <w:snapToGrid w:val="0"/>
        <w:spacing w:line="600" w:lineRule="exac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姓名：</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olor w:val="000000" w:themeColor="text1"/>
          <w:kern w:val="0"/>
          <w:sz w:val="28"/>
          <w:szCs w:val="28"/>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性别</w:t>
      </w:r>
      <w:r>
        <w:rPr>
          <w:rFonts w:hint="eastAsia" w:ascii="方正仿宋_GBK" w:hAnsi="宋体" w:eastAsia="方正仿宋_GBK" w:cs="MingLiU"/>
          <w:color w:val="000000" w:themeColor="text1"/>
          <w:spacing w:val="-1"/>
          <w:kern w:val="0"/>
          <w:sz w:val="28"/>
          <w:szCs w:val="28"/>
          <w14:textFill>
            <w14:solidFill>
              <w14:schemeClr w14:val="tx1"/>
            </w14:solidFill>
          </w14:textFill>
        </w:rPr>
        <w:t>：</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olor w:val="000000" w:themeColor="text1"/>
          <w:kern w:val="0"/>
          <w:sz w:val="28"/>
          <w:szCs w:val="28"/>
          <w14:textFill>
            <w14:solidFill>
              <w14:schemeClr w14:val="tx1"/>
            </w14:solidFill>
          </w14:textFill>
        </w:rPr>
        <w:t xml:space="preserve"> </w:t>
      </w:r>
      <w:r>
        <w:rPr>
          <w:rFonts w:hint="eastAsia" w:ascii="方正仿宋_GBK" w:hAnsi="宋体" w:eastAsia="方正仿宋_GBK" w:cs="MingLiU"/>
          <w:color w:val="000000" w:themeColor="text1"/>
          <w:spacing w:val="-1"/>
          <w:kern w:val="0"/>
          <w:sz w:val="28"/>
          <w:szCs w:val="28"/>
          <w14:textFill>
            <w14:solidFill>
              <w14:schemeClr w14:val="tx1"/>
            </w14:solidFill>
          </w14:textFill>
        </w:rPr>
        <w:t>年</w:t>
      </w:r>
      <w:r>
        <w:rPr>
          <w:rFonts w:hint="eastAsia" w:ascii="方正仿宋_GBK" w:hAnsi="宋体" w:eastAsia="方正仿宋_GBK" w:cs="MingLiU"/>
          <w:color w:val="000000" w:themeColor="text1"/>
          <w:kern w:val="0"/>
          <w:sz w:val="28"/>
          <w:szCs w:val="28"/>
          <w14:textFill>
            <w14:solidFill>
              <w14:schemeClr w14:val="tx1"/>
            </w14:solidFill>
          </w14:textFill>
        </w:rPr>
        <w:t>龄：</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s="MingLiU"/>
          <w:color w:val="000000" w:themeColor="text1"/>
          <w:kern w:val="0"/>
          <w:sz w:val="28"/>
          <w:szCs w:val="28"/>
          <w14:textFill>
            <w14:solidFill>
              <w14:schemeClr w14:val="tx1"/>
            </w14:solidFill>
          </w14:textFill>
        </w:rPr>
        <w:t>职务：</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s="MingLiU"/>
          <w:color w:val="000000" w:themeColor="text1"/>
          <w:kern w:val="0"/>
          <w:sz w:val="28"/>
          <w:szCs w:val="28"/>
          <w14:textFill>
            <w14:solidFill>
              <w14:schemeClr w14:val="tx1"/>
            </w14:solidFill>
          </w14:textFill>
        </w:rPr>
        <w:t>系</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olor w:val="000000" w:themeColor="text1"/>
          <w:kern w:val="0"/>
          <w:sz w:val="28"/>
          <w:szCs w:val="28"/>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（投标人名称）的法定代表人。</w:t>
      </w:r>
    </w:p>
    <w:p w14:paraId="208AEE94">
      <w:pPr>
        <w:autoSpaceDE w:val="0"/>
        <w:autoSpaceDN w:val="0"/>
        <w:adjustRightInd w:val="0"/>
        <w:snapToGrid w:val="0"/>
        <w:spacing w:line="600" w:lineRule="exac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特此证明。</w:t>
      </w:r>
    </w:p>
    <w:p w14:paraId="42901B99">
      <w:pPr>
        <w:autoSpaceDE w:val="0"/>
        <w:autoSpaceDN w:val="0"/>
        <w:adjustRightInd w:val="0"/>
        <w:snapToGrid w:val="0"/>
        <w:spacing w:line="600" w:lineRule="exact"/>
        <w:jc w:val="left"/>
        <w:rPr>
          <w:rFonts w:ascii="方正仿宋_GBK" w:hAnsi="宋体" w:eastAsia="方正仿宋_GBK" w:cs="MingLiU"/>
          <w:color w:val="000000" w:themeColor="text1"/>
          <w:kern w:val="0"/>
          <w:sz w:val="28"/>
          <w:szCs w:val="28"/>
          <w14:textFill>
            <w14:solidFill>
              <w14:schemeClr w14:val="tx1"/>
            </w14:solidFill>
          </w14:textFill>
        </w:rPr>
      </w:pPr>
    </w:p>
    <w:p w14:paraId="6BAA2C35">
      <w:pPr>
        <w:tabs>
          <w:tab w:val="left" w:pos="5460"/>
        </w:tabs>
        <w:autoSpaceDE w:val="0"/>
        <w:autoSpaceDN w:val="0"/>
        <w:adjustRightInd w:val="0"/>
        <w:snapToGrid w:val="0"/>
        <w:spacing w:line="600" w:lineRule="exact"/>
        <w:ind w:firstLine="3360" w:firstLineChars="1200"/>
        <w:jc w:val="righ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投标</w:t>
      </w:r>
      <w:r>
        <w:rPr>
          <w:rFonts w:hint="eastAsia" w:ascii="方正仿宋_GBK" w:hAnsi="宋体" w:eastAsia="方正仿宋_GBK" w:cs="MingLiU"/>
          <w:color w:val="000000" w:themeColor="text1"/>
          <w:spacing w:val="-1"/>
          <w:kern w:val="0"/>
          <w:sz w:val="28"/>
          <w:szCs w:val="28"/>
          <w14:textFill>
            <w14:solidFill>
              <w14:schemeClr w14:val="tx1"/>
            </w14:solidFill>
          </w14:textFill>
        </w:rPr>
        <w:t>人</w:t>
      </w:r>
      <w:r>
        <w:rPr>
          <w:rFonts w:hint="eastAsia" w:ascii="方正仿宋_GBK" w:hAnsi="宋体" w:eastAsia="方正仿宋_GBK" w:cs="MingLiU"/>
          <w:color w:val="000000" w:themeColor="text1"/>
          <w:kern w:val="0"/>
          <w:sz w:val="28"/>
          <w:szCs w:val="28"/>
          <w14:textFill>
            <w14:solidFill>
              <w14:schemeClr w14:val="tx1"/>
            </w14:solidFill>
          </w14:textFill>
        </w:rPr>
        <w:t>：</w:t>
      </w:r>
      <w:r>
        <w:rPr>
          <w:rFonts w:ascii="方正仿宋_GBK" w:hAnsi="宋体" w:eastAsia="方正仿宋_GBK"/>
          <w:color w:val="000000" w:themeColor="text1"/>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spacing w:val="-1"/>
          <w:kern w:val="0"/>
          <w:sz w:val="28"/>
          <w:szCs w:val="28"/>
          <w14:textFill>
            <w14:solidFill>
              <w14:schemeClr w14:val="tx1"/>
            </w14:solidFill>
          </w14:textFill>
        </w:rPr>
        <w:t>（</w:t>
      </w:r>
      <w:r>
        <w:rPr>
          <w:rFonts w:hint="eastAsia" w:ascii="方正仿宋_GBK" w:hAnsi="宋体" w:eastAsia="方正仿宋_GBK" w:cs="MingLiU"/>
          <w:color w:val="000000" w:themeColor="text1"/>
          <w:kern w:val="0"/>
          <w:sz w:val="28"/>
          <w:szCs w:val="28"/>
          <w14:textFill>
            <w14:solidFill>
              <w14:schemeClr w14:val="tx1"/>
            </w14:solidFill>
          </w14:textFill>
        </w:rPr>
        <w:t>盖单位章）</w:t>
      </w:r>
    </w:p>
    <w:p w14:paraId="1E4E5AC2">
      <w:pPr>
        <w:tabs>
          <w:tab w:val="left" w:pos="3455"/>
          <w:tab w:val="left" w:pos="5460"/>
          <w:tab w:val="left" w:pos="6400"/>
        </w:tabs>
        <w:autoSpaceDE w:val="0"/>
        <w:autoSpaceDN w:val="0"/>
        <w:adjustRightInd w:val="0"/>
        <w:snapToGrid w:val="0"/>
        <w:spacing w:line="600" w:lineRule="exact"/>
        <w:ind w:firstLine="3360" w:firstLineChars="600"/>
        <w:jc w:val="righ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spacing w:val="-1"/>
          <w:kern w:val="0"/>
          <w:sz w:val="28"/>
          <w:szCs w:val="28"/>
          <w14:textFill>
            <w14:solidFill>
              <w14:schemeClr w14:val="tx1"/>
            </w14:solidFill>
          </w14:textFill>
        </w:rPr>
        <w:t>年</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月</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日</w:t>
      </w:r>
    </w:p>
    <w:p w14:paraId="12E8C48D">
      <w:pPr>
        <w:autoSpaceDE w:val="0"/>
        <w:autoSpaceDN w:val="0"/>
        <w:adjustRightInd w:val="0"/>
        <w:snapToGrid w:val="0"/>
        <w:spacing w:line="600" w:lineRule="exact"/>
        <w:jc w:val="left"/>
        <w:rPr>
          <w:rFonts w:ascii="方正仿宋_GBK" w:hAnsi="宋体" w:eastAsia="方正仿宋_GBK"/>
          <w:color w:val="000000" w:themeColor="text1"/>
          <w:kern w:val="0"/>
          <w:sz w:val="28"/>
          <w:szCs w:val="28"/>
          <w:u w:val="single"/>
          <w14:textFill>
            <w14:solidFill>
              <w14:schemeClr w14:val="tx1"/>
            </w14:solidFill>
          </w14:textFill>
        </w:rPr>
      </w:pPr>
      <w:bookmarkStart w:id="20" w:name="OLE_LINK22"/>
      <w:bookmarkStart w:id="21" w:name="OLE_LINK23"/>
    </w:p>
    <w:p w14:paraId="32823F37">
      <w:pPr>
        <w:autoSpaceDE w:val="0"/>
        <w:autoSpaceDN w:val="0"/>
        <w:adjustRightInd w:val="0"/>
        <w:snapToGrid w:val="0"/>
        <w:spacing w:line="600" w:lineRule="exact"/>
        <w:jc w:val="left"/>
        <w:rPr>
          <w:rFonts w:ascii="方正仿宋_GBK" w:hAnsi="宋体" w:eastAsia="方正仿宋_GBK"/>
          <w:color w:val="000000" w:themeColor="text1"/>
          <w:kern w:val="0"/>
          <w:sz w:val="28"/>
          <w:szCs w:val="28"/>
          <w:u w:val="single"/>
          <w14:textFill>
            <w14:solidFill>
              <w14:schemeClr w14:val="tx1"/>
            </w14:solidFill>
          </w14:textFill>
        </w:rPr>
      </w:pPr>
      <w:r>
        <w:rPr>
          <w:rFonts w:hint="eastAsia" w:ascii="方正仿宋_GBK" w:hAnsi="宋体" w:eastAsia="方正仿宋_GBK"/>
          <w:color w:val="000000" w:themeColor="text1"/>
          <w:kern w:val="0"/>
          <w:sz w:val="28"/>
          <w:szCs w:val="28"/>
          <w:u w:val="single"/>
          <w14:textFill>
            <w14:solidFill>
              <w14:schemeClr w14:val="tx1"/>
            </w14:solidFill>
          </w14:textFill>
        </w:rPr>
        <w:t>注：</w:t>
      </w:r>
      <w:r>
        <w:rPr>
          <w:rFonts w:hint="eastAsia" w:ascii="方正仿宋_GBK" w:hAnsi="宋体" w:eastAsia="方正仿宋_GBK" w:cs="MingLiU"/>
          <w:color w:val="000000" w:themeColor="text1"/>
          <w:kern w:val="0"/>
          <w:sz w:val="28"/>
          <w:szCs w:val="28"/>
          <w:u w:val="single"/>
          <w14:textFill>
            <w14:solidFill>
              <w14:schemeClr w14:val="tx1"/>
            </w14:solidFill>
          </w14:textFill>
        </w:rPr>
        <w:t>法定代表人的签字必须是亲笔签名，不得使用印章、签名章或其他电子制版签名。</w:t>
      </w:r>
      <w:r>
        <w:rPr>
          <w:rFonts w:hint="eastAsia" w:ascii="方正仿宋_GBK" w:hAnsi="宋体" w:eastAsia="方正仿宋_GBK"/>
          <w:color w:val="000000" w:themeColor="text1"/>
          <w:kern w:val="0"/>
          <w:sz w:val="28"/>
          <w:szCs w:val="28"/>
          <w:u w:val="single"/>
          <w14:textFill>
            <w14:solidFill>
              <w14:schemeClr w14:val="tx1"/>
            </w14:solidFill>
          </w14:textFill>
        </w:rPr>
        <w:t>法定代表人身份证明需按上述格式填写完整，不可缺少内容。在些基础上增加内容的不影响其有效性。</w:t>
      </w:r>
    </w:p>
    <w:bookmarkEnd w:id="20"/>
    <w:bookmarkEnd w:id="21"/>
    <w:p w14:paraId="42CA8732">
      <w:pPr>
        <w:pStyle w:val="13"/>
        <w:ind w:firstLine="0"/>
        <w:rPr>
          <w:rFonts w:ascii="方正仿宋_GBK" w:eastAsia="方正仿宋_GBK"/>
          <w:color w:val="000000" w:themeColor="text1"/>
          <w:kern w:val="0"/>
          <w:sz w:val="28"/>
          <w:szCs w:val="28"/>
          <w14:textFill>
            <w14:solidFill>
              <w14:schemeClr w14:val="tx1"/>
            </w14:solidFill>
          </w14:textFill>
        </w:rPr>
      </w:pPr>
    </w:p>
    <w:p w14:paraId="0D885777">
      <w:pPr>
        <w:pStyle w:val="13"/>
        <w:ind w:firstLine="0"/>
      </w:pPr>
    </w:p>
    <w:p w14:paraId="383034B4">
      <w:pPr>
        <w:pStyle w:val="13"/>
      </w:pPr>
    </w:p>
    <w:p w14:paraId="0EE77204">
      <w:pPr>
        <w:tabs>
          <w:tab w:val="left" w:pos="1680"/>
          <w:tab w:val="left" w:pos="4215"/>
          <w:tab w:val="left" w:pos="4305"/>
          <w:tab w:val="left" w:pos="8000"/>
        </w:tabs>
        <w:autoSpaceDE w:val="0"/>
        <w:autoSpaceDN w:val="0"/>
        <w:adjustRightInd w:val="0"/>
        <w:snapToGrid w:val="0"/>
        <w:spacing w:line="600" w:lineRule="exact"/>
        <w:jc w:val="center"/>
        <w:rPr>
          <w:rFonts w:ascii="方正仿宋_GBK" w:hAnsi="宋体" w:eastAsia="方正仿宋_GBK" w:cs="MingLiU"/>
          <w:b/>
          <w:color w:val="000000" w:themeColor="text1"/>
          <w:kern w:val="0"/>
          <w:sz w:val="28"/>
          <w:szCs w:val="28"/>
          <w14:textFill>
            <w14:solidFill>
              <w14:schemeClr w14:val="tx1"/>
            </w14:solidFill>
          </w14:textFill>
        </w:rPr>
      </w:pPr>
      <w:r>
        <w:rPr>
          <w:rFonts w:hint="eastAsia" w:ascii="方正仿宋_GBK" w:hAnsi="宋体" w:eastAsia="方正仿宋_GBK" w:cs="MingLiU"/>
          <w:b/>
          <w:color w:val="000000" w:themeColor="text1"/>
          <w:kern w:val="0"/>
          <w:sz w:val="28"/>
          <w:szCs w:val="28"/>
          <w14:textFill>
            <w14:solidFill>
              <w14:schemeClr w14:val="tx1"/>
            </w14:solidFill>
          </w14:textFill>
        </w:rPr>
        <w:t>（二）授权委托书</w:t>
      </w:r>
    </w:p>
    <w:p w14:paraId="5A1B0756">
      <w:pPr>
        <w:tabs>
          <w:tab w:val="left" w:pos="1680"/>
          <w:tab w:val="left" w:pos="4215"/>
          <w:tab w:val="left" w:pos="4305"/>
          <w:tab w:val="left" w:pos="8000"/>
        </w:tabs>
        <w:autoSpaceDE w:val="0"/>
        <w:autoSpaceDN w:val="0"/>
        <w:adjustRightInd w:val="0"/>
        <w:snapToGrid w:val="0"/>
        <w:spacing w:line="600" w:lineRule="exact"/>
        <w:jc w:val="left"/>
        <w:rPr>
          <w:rFonts w:ascii="方正仿宋_GBK" w:hAnsi="宋体" w:eastAsia="方正仿宋_GBK" w:cs="MingLiU"/>
          <w:color w:val="000000" w:themeColor="text1"/>
          <w:kern w:val="0"/>
          <w:sz w:val="28"/>
          <w:szCs w:val="28"/>
          <w14:textFill>
            <w14:solidFill>
              <w14:schemeClr w14:val="tx1"/>
            </w14:solidFill>
          </w14:textFill>
        </w:rPr>
      </w:pPr>
    </w:p>
    <w:p w14:paraId="1E36A02A">
      <w:pPr>
        <w:tabs>
          <w:tab w:val="left" w:pos="1680"/>
          <w:tab w:val="left" w:pos="4215"/>
          <w:tab w:val="left" w:pos="4305"/>
          <w:tab w:val="left" w:pos="8000"/>
        </w:tabs>
        <w:autoSpaceDE w:val="0"/>
        <w:autoSpaceDN w:val="0"/>
        <w:adjustRightInd w:val="0"/>
        <w:snapToGrid w:val="0"/>
        <w:spacing w:line="600" w:lineRule="exact"/>
        <w:ind w:firstLine="560" w:firstLineChars="200"/>
        <w:jc w:val="lef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本人</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s="MingLiU"/>
          <w:color w:val="000000" w:themeColor="text1"/>
          <w:kern w:val="0"/>
          <w:sz w:val="28"/>
          <w:szCs w:val="28"/>
          <w14:textFill>
            <w14:solidFill>
              <w14:schemeClr w14:val="tx1"/>
            </w14:solidFill>
          </w14:textFill>
        </w:rPr>
        <w:t>（姓名）系</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s="MingLiU"/>
          <w:color w:val="000000" w:themeColor="text1"/>
          <w:kern w:val="0"/>
          <w:sz w:val="28"/>
          <w:szCs w:val="28"/>
          <w14:textFill>
            <w14:solidFill>
              <w14:schemeClr w14:val="tx1"/>
            </w14:solidFill>
          </w14:textFill>
        </w:rPr>
        <w:t>（</w:t>
      </w:r>
      <w:r>
        <w:rPr>
          <w:rFonts w:hint="eastAsia" w:ascii="方正仿宋_GBK" w:hAnsi="宋体" w:eastAsia="方正仿宋_GBK" w:cs="MingLiU"/>
          <w:color w:val="000000" w:themeColor="text1"/>
          <w:spacing w:val="-1"/>
          <w:kern w:val="0"/>
          <w:sz w:val="28"/>
          <w:szCs w:val="28"/>
          <w14:textFill>
            <w14:solidFill>
              <w14:schemeClr w14:val="tx1"/>
            </w14:solidFill>
          </w14:textFill>
        </w:rPr>
        <w:t>投</w:t>
      </w:r>
      <w:r>
        <w:rPr>
          <w:rFonts w:hint="eastAsia" w:ascii="方正仿宋_GBK" w:hAnsi="宋体" w:eastAsia="方正仿宋_GBK" w:cs="MingLiU"/>
          <w:color w:val="000000" w:themeColor="text1"/>
          <w:kern w:val="0"/>
          <w:sz w:val="28"/>
          <w:szCs w:val="28"/>
          <w14:textFill>
            <w14:solidFill>
              <w14:schemeClr w14:val="tx1"/>
            </w14:solidFill>
          </w14:textFill>
        </w:rPr>
        <w:t>标人名称</w:t>
      </w:r>
      <w:r>
        <w:rPr>
          <w:rFonts w:hint="eastAsia" w:ascii="方正仿宋_GBK" w:hAnsi="宋体" w:eastAsia="方正仿宋_GBK" w:cs="MingLiU"/>
          <w:color w:val="000000" w:themeColor="text1"/>
          <w:spacing w:val="1"/>
          <w:kern w:val="0"/>
          <w:sz w:val="28"/>
          <w:szCs w:val="28"/>
          <w14:textFill>
            <w14:solidFill>
              <w14:schemeClr w14:val="tx1"/>
            </w14:solidFill>
          </w14:textFill>
        </w:rPr>
        <w:t>）</w:t>
      </w:r>
      <w:r>
        <w:rPr>
          <w:rFonts w:hint="eastAsia" w:ascii="方正仿宋_GBK" w:hAnsi="宋体" w:eastAsia="方正仿宋_GBK" w:cs="MingLiU"/>
          <w:color w:val="000000" w:themeColor="text1"/>
          <w:kern w:val="0"/>
          <w:sz w:val="28"/>
          <w:szCs w:val="28"/>
          <w14:textFill>
            <w14:solidFill>
              <w14:schemeClr w14:val="tx1"/>
            </w14:solidFill>
          </w14:textFill>
        </w:rPr>
        <w:t>的法定代</w:t>
      </w:r>
      <w:r>
        <w:rPr>
          <w:rFonts w:hint="eastAsia" w:ascii="方正仿宋_GBK" w:hAnsi="宋体" w:eastAsia="方正仿宋_GBK" w:cs="MingLiU"/>
          <w:color w:val="000000" w:themeColor="text1"/>
          <w:spacing w:val="1"/>
          <w:kern w:val="0"/>
          <w:sz w:val="28"/>
          <w:szCs w:val="28"/>
          <w14:textFill>
            <w14:solidFill>
              <w14:schemeClr w14:val="tx1"/>
            </w14:solidFill>
          </w14:textFill>
        </w:rPr>
        <w:t>表</w:t>
      </w:r>
      <w:r>
        <w:rPr>
          <w:rFonts w:hint="eastAsia" w:ascii="方正仿宋_GBK" w:hAnsi="宋体" w:eastAsia="方正仿宋_GBK" w:cs="MingLiU"/>
          <w:color w:val="000000" w:themeColor="text1"/>
          <w:kern w:val="0"/>
          <w:sz w:val="28"/>
          <w:szCs w:val="28"/>
          <w14:textFill>
            <w14:solidFill>
              <w14:schemeClr w14:val="tx1"/>
            </w14:solidFill>
          </w14:textFill>
        </w:rPr>
        <w:t>人，现委托</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s="MingLiU"/>
          <w:color w:val="000000" w:themeColor="text1"/>
          <w:kern w:val="0"/>
          <w:sz w:val="28"/>
          <w:szCs w:val="28"/>
          <w14:textFill>
            <w14:solidFill>
              <w14:schemeClr w14:val="tx1"/>
            </w14:solidFill>
          </w14:textFill>
        </w:rPr>
        <w:t>（姓</w:t>
      </w:r>
      <w:r>
        <w:rPr>
          <w:rFonts w:hint="eastAsia" w:ascii="方正仿宋_GBK" w:hAnsi="宋体" w:eastAsia="方正仿宋_GBK"/>
          <w:color w:val="000000" w:themeColor="text1"/>
          <w:kern w:val="0"/>
          <w:sz w:val="28"/>
          <w:szCs w:val="28"/>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名）为我方代理人。代理人根据授权，以我方名义签署、澄清、说明、补正、递交、撤回、</w:t>
      </w:r>
      <w:r>
        <w:rPr>
          <w:rFonts w:hint="eastAsia" w:ascii="方正仿宋_GBK" w:hAnsi="宋体" w:eastAsia="方正仿宋_GBK"/>
          <w:color w:val="000000" w:themeColor="text1"/>
          <w:kern w:val="0"/>
          <w:sz w:val="28"/>
          <w:szCs w:val="28"/>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修改</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s="MingLiU"/>
          <w:color w:val="000000" w:themeColor="text1"/>
          <w:kern w:val="0"/>
          <w:sz w:val="28"/>
          <w:szCs w:val="28"/>
          <w14:textFill>
            <w14:solidFill>
              <w14:schemeClr w14:val="tx1"/>
            </w14:solidFill>
          </w14:textFill>
        </w:rPr>
        <w:t>（项</w:t>
      </w:r>
      <w:r>
        <w:rPr>
          <w:rFonts w:hint="eastAsia" w:ascii="方正仿宋_GBK" w:hAnsi="宋体" w:eastAsia="方正仿宋_GBK" w:cs="MingLiU"/>
          <w:color w:val="000000" w:themeColor="text1"/>
          <w:spacing w:val="-1"/>
          <w:kern w:val="0"/>
          <w:sz w:val="28"/>
          <w:szCs w:val="28"/>
          <w14:textFill>
            <w14:solidFill>
              <w14:schemeClr w14:val="tx1"/>
            </w14:solidFill>
          </w14:textFill>
        </w:rPr>
        <w:t>目</w:t>
      </w:r>
      <w:r>
        <w:rPr>
          <w:rFonts w:hint="eastAsia" w:ascii="方正仿宋_GBK" w:hAnsi="宋体" w:eastAsia="方正仿宋_GBK" w:cs="MingLiU"/>
          <w:color w:val="000000" w:themeColor="text1"/>
          <w:kern w:val="0"/>
          <w:sz w:val="28"/>
          <w:szCs w:val="28"/>
          <w14:textFill>
            <w14:solidFill>
              <w14:schemeClr w14:val="tx1"/>
            </w14:solidFill>
          </w14:textFill>
        </w:rPr>
        <w:t>名称）投标文件、签订合同和处理有关事宜，其法律后果由我方承担。</w:t>
      </w:r>
    </w:p>
    <w:p w14:paraId="0BC39066">
      <w:pPr>
        <w:tabs>
          <w:tab w:val="left" w:pos="1680"/>
          <w:tab w:val="left" w:pos="4215"/>
          <w:tab w:val="left" w:pos="4305"/>
          <w:tab w:val="left" w:pos="8000"/>
        </w:tabs>
        <w:autoSpaceDE w:val="0"/>
        <w:autoSpaceDN w:val="0"/>
        <w:adjustRightInd w:val="0"/>
        <w:snapToGrid w:val="0"/>
        <w:spacing w:line="600" w:lineRule="exact"/>
        <w:ind w:firstLine="420"/>
        <w:jc w:val="left"/>
        <w:rPr>
          <w:rFonts w:ascii="方正仿宋_GBK" w:hAnsi="宋体" w:eastAsia="方正仿宋_GBK"/>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委托</w:t>
      </w:r>
      <w:r>
        <w:rPr>
          <w:rFonts w:hint="eastAsia" w:ascii="方正仿宋_GBK" w:hAnsi="宋体" w:eastAsia="方正仿宋_GBK" w:cs="MingLiU"/>
          <w:color w:val="000000" w:themeColor="text1"/>
          <w:spacing w:val="-1"/>
          <w:kern w:val="0"/>
          <w:sz w:val="28"/>
          <w:szCs w:val="28"/>
          <w14:textFill>
            <w14:solidFill>
              <w14:schemeClr w14:val="tx1"/>
            </w14:solidFill>
          </w14:textFill>
        </w:rPr>
        <w:t>期</w:t>
      </w:r>
      <w:r>
        <w:rPr>
          <w:rFonts w:hint="eastAsia" w:ascii="方正仿宋_GBK" w:hAnsi="宋体" w:eastAsia="方正仿宋_GBK" w:cs="MingLiU"/>
          <w:color w:val="000000" w:themeColor="text1"/>
          <w:kern w:val="0"/>
          <w:sz w:val="28"/>
          <w:szCs w:val="28"/>
          <w14:textFill>
            <w14:solidFill>
              <w14:schemeClr w14:val="tx1"/>
            </w14:solidFill>
          </w14:textFill>
        </w:rPr>
        <w:t>限：</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olor w:val="000000" w:themeColor="text1"/>
          <w:kern w:val="0"/>
          <w:sz w:val="28"/>
          <w:szCs w:val="28"/>
          <w:u w:val="single"/>
          <w14:textFill>
            <w14:solidFill>
              <w14:schemeClr w14:val="tx1"/>
            </w14:solidFill>
          </w14:textFill>
        </w:rPr>
        <w:tab/>
      </w:r>
      <w:r>
        <w:rPr>
          <w:rFonts w:hint="eastAsia" w:ascii="方正仿宋_GBK" w:hAnsi="宋体" w:eastAsia="方正仿宋_GBK" w:cs="MingLiU"/>
          <w:color w:val="000000" w:themeColor="text1"/>
          <w:kern w:val="0"/>
          <w:sz w:val="28"/>
          <w:szCs w:val="28"/>
          <w14:textFill>
            <w14:solidFill>
              <w14:schemeClr w14:val="tx1"/>
            </w14:solidFill>
          </w14:textFill>
        </w:rPr>
        <w:t>。</w:t>
      </w:r>
      <w:r>
        <w:rPr>
          <w:rFonts w:hint="eastAsia" w:ascii="方正仿宋_GBK" w:hAnsi="宋体" w:eastAsia="方正仿宋_GBK"/>
          <w:color w:val="000000" w:themeColor="text1"/>
          <w:kern w:val="0"/>
          <w:sz w:val="28"/>
          <w:szCs w:val="28"/>
          <w14:textFill>
            <w14:solidFill>
              <w14:schemeClr w14:val="tx1"/>
            </w14:solidFill>
          </w14:textFill>
        </w:rPr>
        <w:t xml:space="preserve"> </w:t>
      </w:r>
    </w:p>
    <w:p w14:paraId="7F9ECF89">
      <w:pPr>
        <w:tabs>
          <w:tab w:val="left" w:pos="1680"/>
          <w:tab w:val="left" w:pos="4215"/>
          <w:tab w:val="left" w:pos="4305"/>
          <w:tab w:val="left" w:pos="8000"/>
        </w:tabs>
        <w:autoSpaceDE w:val="0"/>
        <w:autoSpaceDN w:val="0"/>
        <w:adjustRightInd w:val="0"/>
        <w:snapToGrid w:val="0"/>
        <w:spacing w:line="600" w:lineRule="exact"/>
        <w:ind w:firstLine="420"/>
        <w:jc w:val="lef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代理人无转委托权。</w:t>
      </w:r>
    </w:p>
    <w:p w14:paraId="3C11E02C">
      <w:pPr>
        <w:tabs>
          <w:tab w:val="left" w:pos="1680"/>
          <w:tab w:val="left" w:pos="4215"/>
          <w:tab w:val="left" w:pos="4305"/>
          <w:tab w:val="left" w:pos="8000"/>
        </w:tabs>
        <w:autoSpaceDE w:val="0"/>
        <w:autoSpaceDN w:val="0"/>
        <w:adjustRightInd w:val="0"/>
        <w:snapToGrid w:val="0"/>
        <w:spacing w:line="600" w:lineRule="exact"/>
        <w:ind w:firstLine="420"/>
        <w:jc w:val="lef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附：法定代表人身份证明。</w:t>
      </w:r>
    </w:p>
    <w:p w14:paraId="2AC2C4F8">
      <w:pPr>
        <w:tabs>
          <w:tab w:val="left" w:pos="4200"/>
          <w:tab w:val="left" w:pos="4620"/>
        </w:tabs>
        <w:autoSpaceDE w:val="0"/>
        <w:autoSpaceDN w:val="0"/>
        <w:adjustRightInd w:val="0"/>
        <w:snapToGrid w:val="0"/>
        <w:spacing w:line="600" w:lineRule="exact"/>
        <w:ind w:right="560"/>
        <w:rPr>
          <w:rFonts w:ascii="方正仿宋_GBK" w:hAnsi="宋体" w:eastAsia="方正仿宋_GBK" w:cs="MingLiU"/>
          <w:color w:val="000000" w:themeColor="text1"/>
          <w:kern w:val="0"/>
          <w:sz w:val="28"/>
          <w:szCs w:val="28"/>
          <w14:textFill>
            <w14:solidFill>
              <w14:schemeClr w14:val="tx1"/>
            </w14:solidFill>
          </w14:textFill>
        </w:rPr>
      </w:pPr>
    </w:p>
    <w:p w14:paraId="4AC499BE">
      <w:pPr>
        <w:tabs>
          <w:tab w:val="left" w:pos="4200"/>
          <w:tab w:val="left" w:pos="4620"/>
        </w:tabs>
        <w:autoSpaceDE w:val="0"/>
        <w:autoSpaceDN w:val="0"/>
        <w:adjustRightInd w:val="0"/>
        <w:snapToGrid w:val="0"/>
        <w:spacing w:line="600" w:lineRule="exact"/>
        <w:ind w:right="560"/>
        <w:rPr>
          <w:rFonts w:ascii="方正仿宋_GBK" w:hAnsi="宋体" w:eastAsia="方正仿宋_GBK" w:cs="MingLiU"/>
          <w:color w:val="000000" w:themeColor="text1"/>
          <w:kern w:val="0"/>
          <w:sz w:val="28"/>
          <w:szCs w:val="28"/>
          <w14:textFill>
            <w14:solidFill>
              <w14:schemeClr w14:val="tx1"/>
            </w14:solidFill>
          </w14:textFill>
        </w:rPr>
      </w:pPr>
    </w:p>
    <w:p w14:paraId="511E05E9">
      <w:pPr>
        <w:tabs>
          <w:tab w:val="left" w:pos="4200"/>
          <w:tab w:val="left" w:pos="4620"/>
        </w:tabs>
        <w:autoSpaceDE w:val="0"/>
        <w:autoSpaceDN w:val="0"/>
        <w:adjustRightInd w:val="0"/>
        <w:snapToGrid w:val="0"/>
        <w:spacing w:line="600" w:lineRule="exact"/>
        <w:ind w:right="560" w:firstLine="3220" w:firstLineChars="1150"/>
        <w:rPr>
          <w:rFonts w:ascii="方正仿宋_GBK" w:hAnsi="宋体" w:eastAsia="方正仿宋_GBK"/>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投  标  人：</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w:t>
      </w:r>
      <w:r>
        <w:rPr>
          <w:rFonts w:hint="eastAsia" w:ascii="方正仿宋_GBK" w:hAnsi="宋体" w:eastAsia="方正仿宋_GBK" w:cs="MingLiU"/>
          <w:color w:val="000000" w:themeColor="text1"/>
          <w:spacing w:val="-1"/>
          <w:kern w:val="0"/>
          <w:sz w:val="28"/>
          <w:szCs w:val="28"/>
          <w14:textFill>
            <w14:solidFill>
              <w14:schemeClr w14:val="tx1"/>
            </w14:solidFill>
          </w14:textFill>
        </w:rPr>
        <w:t>盖</w:t>
      </w:r>
      <w:r>
        <w:rPr>
          <w:rFonts w:hint="eastAsia" w:ascii="方正仿宋_GBK" w:hAnsi="宋体" w:eastAsia="方正仿宋_GBK" w:cs="MingLiU"/>
          <w:color w:val="000000" w:themeColor="text1"/>
          <w:kern w:val="0"/>
          <w:sz w:val="28"/>
          <w:szCs w:val="28"/>
          <w14:textFill>
            <w14:solidFill>
              <w14:schemeClr w14:val="tx1"/>
            </w14:solidFill>
          </w14:textFill>
        </w:rPr>
        <w:t>单位章）</w:t>
      </w:r>
      <w:r>
        <w:rPr>
          <w:rFonts w:hint="eastAsia" w:ascii="方正仿宋_GBK" w:hAnsi="宋体" w:eastAsia="方正仿宋_GBK"/>
          <w:color w:val="000000" w:themeColor="text1"/>
          <w:kern w:val="0"/>
          <w:sz w:val="28"/>
          <w:szCs w:val="28"/>
          <w14:textFill>
            <w14:solidFill>
              <w14:schemeClr w14:val="tx1"/>
            </w14:solidFill>
          </w14:textFill>
        </w:rPr>
        <w:t xml:space="preserve"> </w:t>
      </w:r>
    </w:p>
    <w:p w14:paraId="21CFB812">
      <w:pPr>
        <w:tabs>
          <w:tab w:val="left" w:pos="5645"/>
        </w:tabs>
        <w:autoSpaceDE w:val="0"/>
        <w:autoSpaceDN w:val="0"/>
        <w:adjustRightInd w:val="0"/>
        <w:snapToGrid w:val="0"/>
        <w:spacing w:line="600" w:lineRule="exact"/>
        <w:ind w:firstLine="3220" w:firstLineChars="1150"/>
        <w:jc w:val="lef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法定代表人：</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（签字）</w:t>
      </w:r>
    </w:p>
    <w:p w14:paraId="253CFA66">
      <w:pPr>
        <w:tabs>
          <w:tab w:val="left" w:pos="5260"/>
        </w:tabs>
        <w:autoSpaceDE w:val="0"/>
        <w:autoSpaceDN w:val="0"/>
        <w:adjustRightInd w:val="0"/>
        <w:snapToGrid w:val="0"/>
        <w:spacing w:line="600" w:lineRule="exact"/>
        <w:ind w:firstLine="3220" w:firstLineChars="1150"/>
        <w:jc w:val="lef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身份证号码：</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p>
    <w:p w14:paraId="412FAFC5">
      <w:pPr>
        <w:tabs>
          <w:tab w:val="left" w:pos="6720"/>
        </w:tabs>
        <w:autoSpaceDE w:val="0"/>
        <w:autoSpaceDN w:val="0"/>
        <w:adjustRightInd w:val="0"/>
        <w:snapToGrid w:val="0"/>
        <w:spacing w:line="600" w:lineRule="exact"/>
        <w:ind w:firstLine="3220" w:firstLineChars="1150"/>
        <w:jc w:val="lef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委托代理人：</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（签</w:t>
      </w:r>
      <w:r>
        <w:rPr>
          <w:rFonts w:hint="eastAsia" w:ascii="方正仿宋_GBK" w:hAnsi="宋体" w:eastAsia="方正仿宋_GBK" w:cs="MingLiU"/>
          <w:color w:val="000000" w:themeColor="text1"/>
          <w:spacing w:val="-1"/>
          <w:kern w:val="0"/>
          <w:sz w:val="28"/>
          <w:szCs w:val="28"/>
          <w14:textFill>
            <w14:solidFill>
              <w14:schemeClr w14:val="tx1"/>
            </w14:solidFill>
          </w14:textFill>
        </w:rPr>
        <w:t>字</w:t>
      </w:r>
      <w:r>
        <w:rPr>
          <w:rFonts w:hint="eastAsia" w:ascii="方正仿宋_GBK" w:hAnsi="宋体" w:eastAsia="方正仿宋_GBK" w:cs="MingLiU"/>
          <w:color w:val="000000" w:themeColor="text1"/>
          <w:kern w:val="0"/>
          <w:sz w:val="28"/>
          <w:szCs w:val="28"/>
          <w14:textFill>
            <w14:solidFill>
              <w14:schemeClr w14:val="tx1"/>
            </w14:solidFill>
          </w14:textFill>
        </w:rPr>
        <w:t>）</w:t>
      </w:r>
    </w:p>
    <w:p w14:paraId="338A44FB">
      <w:pPr>
        <w:tabs>
          <w:tab w:val="left" w:pos="5260"/>
        </w:tabs>
        <w:autoSpaceDE w:val="0"/>
        <w:autoSpaceDN w:val="0"/>
        <w:adjustRightInd w:val="0"/>
        <w:snapToGrid w:val="0"/>
        <w:spacing w:line="600" w:lineRule="exact"/>
        <w:ind w:firstLine="3220" w:firstLineChars="1150"/>
        <w:jc w:val="lef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身份证号码：</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p>
    <w:p w14:paraId="568BB952">
      <w:pPr>
        <w:tabs>
          <w:tab w:val="left" w:pos="3455"/>
          <w:tab w:val="left" w:pos="5460"/>
          <w:tab w:val="left" w:pos="6400"/>
        </w:tabs>
        <w:autoSpaceDE w:val="0"/>
        <w:autoSpaceDN w:val="0"/>
        <w:adjustRightInd w:val="0"/>
        <w:snapToGrid w:val="0"/>
        <w:spacing w:line="600" w:lineRule="exact"/>
        <w:ind w:firstLine="3360" w:firstLineChars="600"/>
        <w:jc w:val="right"/>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spacing w:val="-1"/>
          <w:kern w:val="0"/>
          <w:sz w:val="28"/>
          <w:szCs w:val="28"/>
          <w14:textFill>
            <w14:solidFill>
              <w14:schemeClr w14:val="tx1"/>
            </w14:solidFill>
          </w14:textFill>
        </w:rPr>
        <w:t>年</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月</w:t>
      </w:r>
      <w:r>
        <w:rPr>
          <w:rFonts w:hint="eastAsia" w:ascii="方正仿宋_GBK" w:hAnsi="宋体" w:eastAsia="方正仿宋_GBK" w:cs="MingLiU"/>
          <w:color w:val="000000" w:themeColor="text1"/>
          <w:w w:val="200"/>
          <w:kern w:val="0"/>
          <w:sz w:val="28"/>
          <w:szCs w:val="28"/>
          <w:u w:val="single"/>
          <w14:textFill>
            <w14:solidFill>
              <w14:schemeClr w14:val="tx1"/>
            </w14:solidFill>
          </w14:textFill>
        </w:rPr>
        <w:t xml:space="preserve">   </w:t>
      </w:r>
      <w:r>
        <w:rPr>
          <w:rFonts w:hint="eastAsia" w:ascii="方正仿宋_GBK" w:hAnsi="宋体" w:eastAsia="方正仿宋_GBK" w:cs="MingLiU"/>
          <w:color w:val="000000" w:themeColor="text1"/>
          <w:kern w:val="0"/>
          <w:sz w:val="28"/>
          <w:szCs w:val="28"/>
          <w14:textFill>
            <w14:solidFill>
              <w14:schemeClr w14:val="tx1"/>
            </w14:solidFill>
          </w14:textFill>
        </w:rPr>
        <w:t>日</w:t>
      </w:r>
    </w:p>
    <w:p w14:paraId="05D5FE7B">
      <w:pPr>
        <w:tabs>
          <w:tab w:val="left" w:pos="5760"/>
        </w:tabs>
        <w:autoSpaceDE w:val="0"/>
        <w:autoSpaceDN w:val="0"/>
        <w:adjustRightInd w:val="0"/>
        <w:spacing w:line="600" w:lineRule="exact"/>
        <w:ind w:right="11"/>
        <w:rPr>
          <w:rFonts w:ascii="方正仿宋_GBK" w:hAnsi="宋体" w:eastAsia="方正仿宋_GBK" w:cs="MingLiU"/>
          <w:color w:val="000000" w:themeColor="text1"/>
          <w:kern w:val="0"/>
          <w:sz w:val="28"/>
          <w:szCs w:val="28"/>
          <w14:textFill>
            <w14:solidFill>
              <w14:schemeClr w14:val="tx1"/>
            </w14:solidFill>
          </w14:textFill>
        </w:rPr>
      </w:pPr>
      <w:r>
        <w:rPr>
          <w:rFonts w:hint="eastAsia" w:ascii="方正仿宋_GBK" w:hAnsi="宋体" w:eastAsia="方正仿宋_GBK" w:cs="MingLiU"/>
          <w:color w:val="000000" w:themeColor="text1"/>
          <w:kern w:val="0"/>
          <w:sz w:val="28"/>
          <w:szCs w:val="28"/>
          <w14:textFill>
            <w14:solidFill>
              <w14:schemeClr w14:val="tx1"/>
            </w14:solidFill>
          </w14:textFill>
        </w:rPr>
        <w:t>注：1.法定代表人参加投标活动并签署文件的不需要授权委托书，只需提供法定代表人身份证明；非法定代表人参加投标活动及签署文件的除提供法定代表人身份证明外还须提供授权委托书。</w:t>
      </w:r>
      <w:r>
        <w:rPr>
          <w:rFonts w:ascii="方正仿宋_GBK" w:hAnsi="宋体" w:eastAsia="方正仿宋_GBK" w:cs="MingLiU"/>
          <w:color w:val="000000" w:themeColor="text1"/>
          <w:kern w:val="0"/>
          <w:sz w:val="28"/>
          <w:szCs w:val="28"/>
          <w14:textFill>
            <w14:solidFill>
              <w14:schemeClr w14:val="tx1"/>
            </w14:solidFill>
          </w14:textFill>
        </w:rPr>
        <w:t>2.</w:t>
      </w:r>
      <w:r>
        <w:rPr>
          <w:rFonts w:hint="eastAsia" w:ascii="方正仿宋_GBK" w:hAnsi="宋体" w:eastAsia="方正仿宋_GBK" w:cs="MingLiU"/>
          <w:color w:val="000000" w:themeColor="text1"/>
          <w:kern w:val="0"/>
          <w:sz w:val="28"/>
          <w:szCs w:val="28"/>
          <w14:textFill>
            <w14:solidFill>
              <w14:schemeClr w14:val="tx1"/>
            </w14:solidFill>
          </w14:textFill>
        </w:rPr>
        <w:t>法定代表人身份证明及授托书原件装入投标文件一并递交。另外须准备一份在开标现场出具。</w:t>
      </w:r>
      <w:bookmarkEnd w:id="16"/>
      <w:bookmarkEnd w:id="17"/>
      <w:bookmarkEnd w:id="18"/>
      <w:bookmarkEnd w:id="19"/>
    </w:p>
    <w:p w14:paraId="7E54EB0A">
      <w:pPr>
        <w:tabs>
          <w:tab w:val="left" w:pos="5760"/>
        </w:tabs>
        <w:autoSpaceDE w:val="0"/>
        <w:autoSpaceDN w:val="0"/>
        <w:adjustRightInd w:val="0"/>
        <w:spacing w:line="600" w:lineRule="exact"/>
        <w:ind w:right="11"/>
        <w:rPr>
          <w:rFonts w:ascii="方正黑体_GBK" w:hAnsi="宋体" w:eastAsia="方正黑体_GBK" w:cs="MingLiU"/>
          <w:color w:val="000000" w:themeColor="text1"/>
          <w:kern w:val="0"/>
          <w:sz w:val="28"/>
          <w:szCs w:val="28"/>
          <w14:textFill>
            <w14:solidFill>
              <w14:schemeClr w14:val="tx1"/>
            </w14:solidFill>
          </w14:textFill>
        </w:rPr>
      </w:pPr>
      <w:r>
        <w:rPr>
          <w:rFonts w:hint="eastAsia" w:ascii="方正黑体_GBK" w:eastAsia="方正黑体_GBK"/>
          <w:color w:val="000000" w:themeColor="text1"/>
          <w:sz w:val="28"/>
          <w:szCs w:val="28"/>
          <w14:textFill>
            <w14:solidFill>
              <w14:schemeClr w14:val="tx1"/>
            </w14:solidFill>
          </w14:textFill>
        </w:rPr>
        <w:t>三、工程投标报价清单</w:t>
      </w:r>
    </w:p>
    <w:p w14:paraId="50E85BEE">
      <w:pPr>
        <w:spacing w:line="600" w:lineRule="exact"/>
        <w:jc w:val="left"/>
        <w:rPr>
          <w:rFonts w:ascii="方正仿宋_GBK" w:hAnsi="宋体" w:eastAsia="方正仿宋_GBK"/>
          <w:color w:val="000000" w:themeColor="text1"/>
          <w:sz w:val="28"/>
          <w:szCs w:val="28"/>
          <w14:textFill>
            <w14:solidFill>
              <w14:schemeClr w14:val="tx1"/>
            </w14:solidFill>
          </w14:textFill>
        </w:rPr>
      </w:pPr>
      <w:r>
        <w:rPr>
          <w:rFonts w:hint="eastAsia" w:ascii="方正仿宋_GBK" w:hAnsi="宋体" w:eastAsia="方正仿宋_GBK"/>
          <w:b/>
          <w:color w:val="000000" w:themeColor="text1"/>
          <w:sz w:val="28"/>
          <w:szCs w:val="28"/>
          <w14:textFill>
            <w14:solidFill>
              <w14:schemeClr w14:val="tx1"/>
            </w14:solidFill>
          </w14:textFill>
        </w:rPr>
        <w:t xml:space="preserve"> </w:t>
      </w:r>
      <w:r>
        <w:rPr>
          <w:rFonts w:hint="eastAsia" w:ascii="方正仿宋_GBK" w:hAnsi="宋体" w:eastAsia="方正仿宋_GBK"/>
          <w:color w:val="000000" w:themeColor="text1"/>
          <w:sz w:val="28"/>
          <w:szCs w:val="28"/>
          <w14:textFill>
            <w14:solidFill>
              <w14:schemeClr w14:val="tx1"/>
            </w14:solidFill>
          </w14:textFill>
        </w:rPr>
        <w:t>（复印件加盖单位公章）</w:t>
      </w:r>
    </w:p>
    <w:p w14:paraId="37024A09">
      <w:pPr>
        <w:spacing w:line="600" w:lineRule="exact"/>
        <w:jc w:val="left"/>
        <w:rPr>
          <w:rFonts w:ascii="方正黑体_GBK" w:hAnsi="宋体" w:eastAsia="方正黑体_GBK"/>
          <w:color w:val="000000" w:themeColor="text1"/>
          <w:sz w:val="28"/>
          <w:szCs w:val="28"/>
          <w14:textFill>
            <w14:solidFill>
              <w14:schemeClr w14:val="tx1"/>
            </w14:solidFill>
          </w14:textFill>
        </w:rPr>
      </w:pPr>
      <w:r>
        <w:rPr>
          <w:rFonts w:hint="eastAsia" w:ascii="方正黑体_GBK" w:hAnsi="宋体" w:eastAsia="方正黑体_GBK"/>
          <w:color w:val="000000" w:themeColor="text1"/>
          <w:sz w:val="28"/>
          <w:szCs w:val="28"/>
          <w14:textFill>
            <w14:solidFill>
              <w14:schemeClr w14:val="tx1"/>
            </w14:solidFill>
          </w14:textFill>
        </w:rPr>
        <w:t>四、报价人资质、证明文件</w:t>
      </w:r>
    </w:p>
    <w:p w14:paraId="2A0F2C62">
      <w:pPr>
        <w:spacing w:line="600" w:lineRule="exact"/>
        <w:jc w:val="left"/>
        <w:rPr>
          <w:rFonts w:ascii="方正仿宋_GBK" w:hAnsi="宋体" w:eastAsia="方正仿宋_GBK"/>
          <w:color w:val="000000" w:themeColor="text1"/>
          <w:sz w:val="28"/>
          <w:szCs w:val="28"/>
          <w14:textFill>
            <w14:solidFill>
              <w14:schemeClr w14:val="tx1"/>
            </w14:solidFill>
          </w14:textFill>
        </w:rPr>
      </w:pPr>
      <w:r>
        <w:rPr>
          <w:rFonts w:hint="eastAsia" w:ascii="方正仿宋_GBK" w:hAnsi="宋体" w:eastAsia="方正仿宋_GBK"/>
          <w:color w:val="000000" w:themeColor="text1"/>
          <w:sz w:val="28"/>
          <w:szCs w:val="28"/>
          <w14:textFill>
            <w14:solidFill>
              <w14:schemeClr w14:val="tx1"/>
            </w14:solidFill>
          </w14:textFill>
        </w:rPr>
        <w:t>（复印件加盖单位公章）</w:t>
      </w:r>
    </w:p>
    <w:p w14:paraId="3DA7DDDB">
      <w:pPr>
        <w:spacing w:line="600" w:lineRule="exact"/>
        <w:jc w:val="left"/>
        <w:rPr>
          <w:rFonts w:ascii="方正仿宋_GBK" w:eastAsia="方正仿宋_GBK"/>
          <w:color w:val="000000" w:themeColor="text1"/>
          <w:sz w:val="32"/>
          <w:szCs w:val="32"/>
          <w14:textFill>
            <w14:solidFill>
              <w14:schemeClr w14:val="tx1"/>
            </w14:solidFill>
          </w14:textFill>
        </w:rPr>
      </w:pPr>
      <w:r>
        <w:rPr>
          <w:rFonts w:hint="eastAsia" w:ascii="方正仿宋_GBK" w:hAnsi="宋体" w:eastAsia="方正仿宋_GBK"/>
          <w:color w:val="000000" w:themeColor="text1"/>
          <w:sz w:val="32"/>
          <w:szCs w:val="32"/>
          <w14:textFill>
            <w14:solidFill>
              <w14:schemeClr w14:val="tx1"/>
            </w14:solidFill>
          </w14:textFill>
        </w:rPr>
        <w:br w:type="page"/>
      </w:r>
    </w:p>
    <w:p w14:paraId="7C51E543">
      <w:pPr>
        <w:spacing w:line="600" w:lineRule="exact"/>
        <w:jc w:val="left"/>
        <w:rPr>
          <w:b/>
          <w:spacing w:val="-20"/>
          <w:sz w:val="44"/>
          <w:szCs w:val="44"/>
        </w:rPr>
      </w:pPr>
      <w:r>
        <w:rPr>
          <w:rFonts w:hint="eastAsia" w:ascii="方正小标宋_GBK" w:eastAsia="方正小标宋_GBK"/>
          <w:color w:val="000000" w:themeColor="text1"/>
          <w:sz w:val="32"/>
          <w:szCs w:val="32"/>
          <w14:textFill>
            <w14:solidFill>
              <w14:schemeClr w14:val="tx1"/>
            </w14:solidFill>
          </w14:textFill>
        </w:rPr>
        <w:t>附件2</w:t>
      </w:r>
    </w:p>
    <w:p w14:paraId="46741F0A">
      <w:pPr>
        <w:widowControl/>
        <w:shd w:val="clear" w:color="auto" w:fill="FFFFFF"/>
        <w:spacing w:line="600" w:lineRule="atLeast"/>
        <w:jc w:val="center"/>
        <w:textAlignment w:val="baseline"/>
        <w:rPr>
          <w:rFonts w:ascii="方正黑体_GBK" w:hAnsi="宋体" w:eastAsia="方正黑体_GBK" w:cs="宋体"/>
          <w:color w:val="000000"/>
          <w:kern w:val="0"/>
          <w:sz w:val="36"/>
          <w:szCs w:val="36"/>
        </w:rPr>
      </w:pPr>
      <w:r>
        <w:rPr>
          <w:rFonts w:hint="eastAsia" w:ascii="方正黑体_GBK" w:hAnsi="宋体" w:eastAsia="方正黑体_GBK" w:cs="宋体"/>
          <w:color w:val="000000"/>
          <w:kern w:val="0"/>
          <w:sz w:val="36"/>
          <w:szCs w:val="36"/>
        </w:rPr>
        <w:t>枢纽港九龙园黄磏临港产业服务城—钢结构加固工程</w:t>
      </w:r>
    </w:p>
    <w:p w14:paraId="52C30EF3">
      <w:pPr>
        <w:pStyle w:val="13"/>
        <w:ind w:firstLine="210"/>
      </w:pPr>
    </w:p>
    <w:p w14:paraId="0FE45588">
      <w:pPr>
        <w:pStyle w:val="13"/>
        <w:ind w:firstLine="210"/>
      </w:pPr>
    </w:p>
    <w:p w14:paraId="6BE2F805">
      <w:pPr>
        <w:pStyle w:val="13"/>
        <w:ind w:firstLine="210"/>
      </w:pPr>
    </w:p>
    <w:p w14:paraId="5EE44875">
      <w:pPr>
        <w:ind w:right="-92" w:rightChars="-44"/>
        <w:jc w:val="center"/>
        <w:rPr>
          <w:b/>
          <w:spacing w:val="-20"/>
          <w:sz w:val="92"/>
        </w:rPr>
      </w:pPr>
      <w:r>
        <w:rPr>
          <w:rFonts w:hint="eastAsia"/>
          <w:b/>
          <w:spacing w:val="-20"/>
          <w:sz w:val="92"/>
        </w:rPr>
        <w:t>施</w:t>
      </w:r>
    </w:p>
    <w:p w14:paraId="27B3E1B7">
      <w:pPr>
        <w:ind w:right="-92" w:rightChars="-44"/>
        <w:jc w:val="center"/>
        <w:rPr>
          <w:b/>
          <w:spacing w:val="-20"/>
          <w:sz w:val="92"/>
        </w:rPr>
      </w:pPr>
      <w:r>
        <w:rPr>
          <w:rFonts w:hint="eastAsia"/>
          <w:b/>
          <w:spacing w:val="-20"/>
          <w:sz w:val="92"/>
        </w:rPr>
        <w:t>工</w:t>
      </w:r>
    </w:p>
    <w:p w14:paraId="7BC40DE4">
      <w:pPr>
        <w:ind w:right="-92" w:rightChars="-44"/>
        <w:jc w:val="center"/>
        <w:rPr>
          <w:b/>
          <w:spacing w:val="-20"/>
          <w:sz w:val="92"/>
        </w:rPr>
      </w:pPr>
      <w:r>
        <w:rPr>
          <w:rFonts w:hint="eastAsia"/>
          <w:b/>
          <w:spacing w:val="-20"/>
          <w:sz w:val="92"/>
        </w:rPr>
        <w:t>合</w:t>
      </w:r>
    </w:p>
    <w:p w14:paraId="27914C91">
      <w:pPr>
        <w:ind w:right="-92" w:rightChars="-44"/>
        <w:jc w:val="center"/>
        <w:rPr>
          <w:b/>
          <w:spacing w:val="-20"/>
          <w:sz w:val="92"/>
        </w:rPr>
      </w:pPr>
      <w:r>
        <w:rPr>
          <w:rFonts w:hint="eastAsia"/>
          <w:b/>
          <w:spacing w:val="-20"/>
          <w:sz w:val="92"/>
        </w:rPr>
        <w:t>同</w:t>
      </w:r>
    </w:p>
    <w:p w14:paraId="727DC893">
      <w:pPr>
        <w:ind w:right="-92" w:rightChars="-44"/>
        <w:jc w:val="center"/>
        <w:rPr>
          <w:b/>
          <w:spacing w:val="-20"/>
          <w:sz w:val="92"/>
        </w:rPr>
      </w:pPr>
      <w:r>
        <w:rPr>
          <w:rFonts w:hint="eastAsia"/>
          <w:b/>
          <w:spacing w:val="-20"/>
          <w:sz w:val="92"/>
        </w:rPr>
        <w:t>书</w:t>
      </w:r>
    </w:p>
    <w:p w14:paraId="2016D05C">
      <w:pPr>
        <w:ind w:right="-92" w:rightChars="-44"/>
        <w:rPr>
          <w:b/>
          <w:spacing w:val="-20"/>
          <w:sz w:val="24"/>
        </w:rPr>
      </w:pPr>
    </w:p>
    <w:p w14:paraId="032D44A1">
      <w:pPr>
        <w:pStyle w:val="13"/>
        <w:ind w:firstLine="210"/>
      </w:pPr>
    </w:p>
    <w:p w14:paraId="36A64095">
      <w:pPr>
        <w:ind w:right="-92" w:rightChars="-44"/>
        <w:rPr>
          <w:b/>
          <w:spacing w:val="-20"/>
          <w:sz w:val="36"/>
        </w:rPr>
      </w:pPr>
      <w:r>
        <w:rPr>
          <w:rFonts w:hint="eastAsia"/>
          <w:b/>
          <w:spacing w:val="-20"/>
          <w:sz w:val="36"/>
        </w:rPr>
        <w:t>项目业主：九龙现代（重庆）园区运营管理有限公司</w:t>
      </w:r>
    </w:p>
    <w:p w14:paraId="3B1BF828">
      <w:pPr>
        <w:pStyle w:val="13"/>
        <w:ind w:firstLine="0"/>
      </w:pPr>
      <w:r>
        <w:rPr>
          <w:rFonts w:hint="eastAsia"/>
          <w:b/>
          <w:spacing w:val="-20"/>
          <w:sz w:val="36"/>
        </w:rPr>
        <w:t>代理业主：*</w:t>
      </w:r>
      <w:r>
        <w:rPr>
          <w:b/>
          <w:spacing w:val="-20"/>
          <w:sz w:val="36"/>
        </w:rPr>
        <w:t>****</w:t>
      </w:r>
    </w:p>
    <w:p w14:paraId="61272DD8">
      <w:pPr>
        <w:ind w:right="-92" w:rightChars="-44"/>
        <w:rPr>
          <w:b/>
          <w:spacing w:val="-20"/>
          <w:sz w:val="36"/>
        </w:rPr>
      </w:pPr>
      <w:r>
        <w:rPr>
          <w:b/>
          <w:spacing w:val="-20"/>
          <w:sz w:val="36"/>
        </w:rPr>
        <w:t>承</w:t>
      </w:r>
      <w:r>
        <w:rPr>
          <w:rFonts w:hint="eastAsia"/>
          <w:b/>
          <w:spacing w:val="-20"/>
          <w:sz w:val="36"/>
        </w:rPr>
        <w:t xml:space="preserve"> </w:t>
      </w:r>
      <w:r>
        <w:rPr>
          <w:b/>
          <w:spacing w:val="-20"/>
          <w:sz w:val="36"/>
        </w:rPr>
        <w:t>包</w:t>
      </w:r>
      <w:r>
        <w:rPr>
          <w:rFonts w:hint="eastAsia"/>
          <w:b/>
          <w:spacing w:val="-20"/>
          <w:sz w:val="36"/>
        </w:rPr>
        <w:t xml:space="preserve"> </w:t>
      </w:r>
      <w:r>
        <w:rPr>
          <w:b/>
          <w:spacing w:val="-20"/>
          <w:sz w:val="36"/>
        </w:rPr>
        <w:t>人：</w:t>
      </w:r>
      <w:r>
        <w:rPr>
          <w:rFonts w:hint="eastAsia"/>
          <w:b/>
          <w:spacing w:val="-20"/>
          <w:sz w:val="36"/>
        </w:rPr>
        <w:t>********************</w:t>
      </w:r>
    </w:p>
    <w:p w14:paraId="149A9EF9">
      <w:pPr>
        <w:ind w:right="-92" w:rightChars="-44"/>
        <w:jc w:val="center"/>
        <w:rPr>
          <w:b/>
          <w:sz w:val="38"/>
        </w:rPr>
      </w:pPr>
      <w:r>
        <w:rPr>
          <w:rFonts w:hint="eastAsia"/>
          <w:b/>
          <w:sz w:val="38"/>
        </w:rPr>
        <w:t>2025年**月</w:t>
      </w:r>
    </w:p>
    <w:p w14:paraId="3DAD3E91">
      <w:pPr>
        <w:jc w:val="center"/>
        <w:rPr>
          <w:szCs w:val="20"/>
        </w:rPr>
      </w:pPr>
    </w:p>
    <w:p w14:paraId="48C4EDB7">
      <w:pPr>
        <w:autoSpaceDE w:val="0"/>
        <w:autoSpaceDN w:val="0"/>
        <w:adjustRightInd w:val="0"/>
        <w:jc w:val="center"/>
        <w:rPr>
          <w:rFonts w:ascii="方正小标宋_GBK" w:hAnsi="宋体" w:eastAsia="方正小标宋_GBK"/>
          <w:spacing w:val="22"/>
          <w:position w:val="28"/>
          <w:sz w:val="44"/>
          <w:szCs w:val="44"/>
        </w:rPr>
      </w:pPr>
    </w:p>
    <w:p w14:paraId="5FD04265">
      <w:pPr>
        <w:autoSpaceDE w:val="0"/>
        <w:autoSpaceDN w:val="0"/>
        <w:adjustRightInd w:val="0"/>
        <w:jc w:val="center"/>
        <w:rPr>
          <w:rFonts w:ascii="方正小标宋_GBK" w:eastAsia="方正小标宋_GBK"/>
          <w:spacing w:val="22"/>
          <w:position w:val="28"/>
          <w:sz w:val="44"/>
          <w:szCs w:val="44"/>
        </w:rPr>
      </w:pPr>
      <w:r>
        <w:rPr>
          <w:rFonts w:hint="eastAsia" w:ascii="方正小标宋_GBK" w:hAnsi="宋体" w:eastAsia="方正小标宋_GBK"/>
          <w:spacing w:val="22"/>
          <w:position w:val="28"/>
          <w:sz w:val="44"/>
          <w:szCs w:val="44"/>
        </w:rPr>
        <w:t>目 录</w:t>
      </w:r>
    </w:p>
    <w:p w14:paraId="1C2C2D2F">
      <w:pPr>
        <w:autoSpaceDE w:val="0"/>
        <w:autoSpaceDN w:val="0"/>
        <w:adjustRightInd w:val="0"/>
        <w:rPr>
          <w:rFonts w:ascii="方正仿宋_GBK" w:hAnsi="宋体" w:eastAsia="方正仿宋_GBK"/>
          <w:spacing w:val="22"/>
          <w:position w:val="28"/>
          <w:sz w:val="32"/>
          <w:szCs w:val="32"/>
        </w:rPr>
      </w:pPr>
    </w:p>
    <w:p w14:paraId="0533EEC6">
      <w:pPr>
        <w:autoSpaceDE w:val="0"/>
        <w:autoSpaceDN w:val="0"/>
        <w:adjustRightInd w:val="0"/>
        <w:rPr>
          <w:rFonts w:ascii="方正仿宋_GBK" w:eastAsia="方正仿宋_GBK"/>
          <w:spacing w:val="22"/>
          <w:position w:val="28"/>
          <w:sz w:val="32"/>
          <w:szCs w:val="32"/>
        </w:rPr>
      </w:pPr>
      <w:r>
        <w:rPr>
          <w:rFonts w:hint="eastAsia" w:ascii="方正仿宋_GBK" w:hAnsi="宋体" w:eastAsia="方正仿宋_GBK"/>
          <w:spacing w:val="22"/>
          <w:position w:val="28"/>
          <w:sz w:val="32"/>
          <w:szCs w:val="32"/>
        </w:rPr>
        <w:t>第一部分 合同协议书</w:t>
      </w:r>
    </w:p>
    <w:p w14:paraId="6703927F">
      <w:pPr>
        <w:autoSpaceDE w:val="0"/>
        <w:autoSpaceDN w:val="0"/>
        <w:adjustRightInd w:val="0"/>
        <w:rPr>
          <w:rFonts w:ascii="方正仿宋_GBK" w:eastAsia="方正仿宋_GBK"/>
          <w:spacing w:val="22"/>
          <w:position w:val="28"/>
          <w:sz w:val="32"/>
          <w:szCs w:val="32"/>
        </w:rPr>
      </w:pPr>
      <w:r>
        <w:rPr>
          <w:rFonts w:hint="eastAsia" w:ascii="方正仿宋_GBK" w:hAnsi="宋体" w:eastAsia="方正仿宋_GBK"/>
          <w:spacing w:val="22"/>
          <w:position w:val="28"/>
          <w:sz w:val="32"/>
          <w:szCs w:val="32"/>
        </w:rPr>
        <w:t>第二部分 通用合同条款</w:t>
      </w:r>
    </w:p>
    <w:p w14:paraId="30AB215C">
      <w:pPr>
        <w:autoSpaceDE w:val="0"/>
        <w:autoSpaceDN w:val="0"/>
        <w:adjustRightInd w:val="0"/>
        <w:rPr>
          <w:rFonts w:ascii="方正仿宋_GBK" w:eastAsia="方正仿宋_GBK"/>
          <w:spacing w:val="22"/>
          <w:position w:val="28"/>
          <w:sz w:val="32"/>
          <w:szCs w:val="32"/>
        </w:rPr>
      </w:pPr>
      <w:r>
        <w:rPr>
          <w:rFonts w:hint="eastAsia" w:ascii="方正仿宋_GBK" w:hAnsi="宋体" w:eastAsia="方正仿宋_GBK"/>
          <w:spacing w:val="22"/>
          <w:position w:val="28"/>
          <w:sz w:val="32"/>
          <w:szCs w:val="32"/>
        </w:rPr>
        <w:t>第三部分 专用合同条款</w:t>
      </w:r>
    </w:p>
    <w:p w14:paraId="2F8A8CBD">
      <w:pPr>
        <w:autoSpaceDE w:val="0"/>
        <w:autoSpaceDN w:val="0"/>
        <w:adjustRightInd w:val="0"/>
        <w:rPr>
          <w:rFonts w:ascii="方正仿宋_GBK" w:eastAsia="方正仿宋_GBK"/>
          <w:spacing w:val="22"/>
          <w:position w:val="28"/>
          <w:sz w:val="32"/>
          <w:szCs w:val="32"/>
        </w:rPr>
      </w:pPr>
      <w:r>
        <w:rPr>
          <w:rFonts w:hint="eastAsia" w:ascii="方正仿宋_GBK" w:hAnsi="宋体" w:eastAsia="方正仿宋_GBK"/>
          <w:spacing w:val="22"/>
          <w:position w:val="28"/>
          <w:sz w:val="32"/>
          <w:szCs w:val="32"/>
        </w:rPr>
        <w:t>第四部分 合同附件</w:t>
      </w:r>
    </w:p>
    <w:p w14:paraId="2D3E50E3">
      <w:pPr>
        <w:autoSpaceDE w:val="0"/>
        <w:autoSpaceDN w:val="0"/>
        <w:adjustRightInd w:val="0"/>
        <w:rPr>
          <w:rFonts w:ascii="方正仿宋_GBK" w:hAnsi="宋体" w:eastAsia="方正仿宋_GBK"/>
          <w:spacing w:val="22"/>
          <w:position w:val="28"/>
          <w:sz w:val="32"/>
          <w:szCs w:val="32"/>
        </w:rPr>
      </w:pPr>
      <w:r>
        <w:rPr>
          <w:rFonts w:hint="eastAsia" w:ascii="方正仿宋_GBK" w:hAnsi="宋体" w:eastAsia="方正仿宋_GBK"/>
          <w:spacing w:val="22"/>
          <w:position w:val="28"/>
          <w:sz w:val="32"/>
          <w:szCs w:val="32"/>
        </w:rPr>
        <w:t>1、</w:t>
      </w:r>
      <w:r>
        <w:rPr>
          <w:rFonts w:hint="eastAsia" w:ascii="方正仿宋_GBK" w:hAnsi="宋体" w:eastAsia="方正仿宋_GBK"/>
          <w:spacing w:val="22"/>
          <w:position w:val="28"/>
          <w:sz w:val="32"/>
          <w:szCs w:val="32"/>
          <w:lang w:val="zh-CN"/>
        </w:rPr>
        <w:t>安全工作目标责任书</w:t>
      </w:r>
    </w:p>
    <w:p w14:paraId="4141DA73">
      <w:pPr>
        <w:autoSpaceDE w:val="0"/>
        <w:autoSpaceDN w:val="0"/>
        <w:adjustRightInd w:val="0"/>
        <w:rPr>
          <w:rFonts w:ascii="方正仿宋_GBK" w:hAnsi="宋体" w:eastAsia="方正仿宋_GBK"/>
          <w:spacing w:val="22"/>
          <w:position w:val="28"/>
          <w:sz w:val="32"/>
          <w:szCs w:val="32"/>
        </w:rPr>
      </w:pPr>
      <w:r>
        <w:rPr>
          <w:rFonts w:hint="eastAsia" w:ascii="方正仿宋_GBK" w:hAnsi="宋体" w:eastAsia="方正仿宋_GBK"/>
          <w:spacing w:val="22"/>
          <w:position w:val="28"/>
          <w:sz w:val="32"/>
          <w:szCs w:val="32"/>
        </w:rPr>
        <w:t>2、廉政合同</w:t>
      </w:r>
    </w:p>
    <w:p w14:paraId="1F516B8A">
      <w:pPr>
        <w:autoSpaceDE w:val="0"/>
        <w:autoSpaceDN w:val="0"/>
        <w:adjustRightInd w:val="0"/>
        <w:rPr>
          <w:rFonts w:ascii="方正仿宋_GBK" w:hAnsi="宋体" w:eastAsia="方正仿宋_GBK"/>
          <w:spacing w:val="22"/>
          <w:position w:val="28"/>
          <w:sz w:val="32"/>
          <w:szCs w:val="32"/>
        </w:rPr>
      </w:pPr>
      <w:r>
        <w:rPr>
          <w:rFonts w:hint="eastAsia" w:ascii="方正仿宋_GBK" w:hAnsi="宋体" w:eastAsia="方正仿宋_GBK"/>
          <w:spacing w:val="22"/>
          <w:position w:val="28"/>
          <w:sz w:val="32"/>
          <w:szCs w:val="32"/>
        </w:rPr>
        <w:t>3、《九龙坡区市街绿化养护作业技术标准》（试行稿）</w:t>
      </w:r>
    </w:p>
    <w:p w14:paraId="108AE5A0">
      <w:pPr>
        <w:autoSpaceDE w:val="0"/>
        <w:autoSpaceDN w:val="0"/>
        <w:adjustRightInd w:val="0"/>
        <w:rPr>
          <w:rFonts w:ascii="方正仿宋_GBK" w:hAnsi="宋体" w:eastAsia="方正仿宋_GBK"/>
          <w:spacing w:val="22"/>
          <w:position w:val="28"/>
          <w:sz w:val="32"/>
          <w:szCs w:val="32"/>
        </w:rPr>
      </w:pPr>
      <w:r>
        <w:rPr>
          <w:rFonts w:ascii="方正仿宋_GBK" w:hAnsi="宋体" w:eastAsia="方正仿宋_GBK"/>
          <w:spacing w:val="22"/>
          <w:position w:val="28"/>
          <w:sz w:val="32"/>
          <w:szCs w:val="32"/>
        </w:rPr>
        <w:t>4</w:t>
      </w:r>
      <w:r>
        <w:rPr>
          <w:rFonts w:hint="eastAsia" w:ascii="方正仿宋_GBK" w:hAnsi="宋体" w:eastAsia="方正仿宋_GBK"/>
          <w:spacing w:val="22"/>
          <w:position w:val="28"/>
          <w:sz w:val="32"/>
          <w:szCs w:val="32"/>
        </w:rPr>
        <w:t>、《九龙坡区市街绿化养护作业实施细则》（试行稿）</w:t>
      </w:r>
    </w:p>
    <w:p w14:paraId="545694CC">
      <w:pPr>
        <w:autoSpaceDE w:val="0"/>
        <w:autoSpaceDN w:val="0"/>
        <w:adjustRightInd w:val="0"/>
        <w:rPr>
          <w:rFonts w:ascii="方正仿宋_GBK" w:hAnsi="宋体" w:eastAsia="方正仿宋_GBK"/>
          <w:spacing w:val="22"/>
          <w:position w:val="28"/>
          <w:sz w:val="32"/>
          <w:szCs w:val="32"/>
        </w:rPr>
      </w:pPr>
      <w:r>
        <w:rPr>
          <w:rFonts w:ascii="方正仿宋_GBK" w:hAnsi="宋体" w:eastAsia="方正仿宋_GBK"/>
          <w:spacing w:val="22"/>
          <w:position w:val="28"/>
          <w:sz w:val="32"/>
          <w:szCs w:val="32"/>
        </w:rPr>
        <w:t>5</w:t>
      </w:r>
      <w:r>
        <w:rPr>
          <w:rFonts w:hint="eastAsia" w:ascii="方正仿宋_GBK" w:hAnsi="宋体" w:eastAsia="方正仿宋_GBK"/>
          <w:spacing w:val="22"/>
          <w:position w:val="28"/>
          <w:sz w:val="32"/>
          <w:szCs w:val="32"/>
        </w:rPr>
        <w:t>、《九龙坡区市街绿化养护日常考核及巡查机制》（试行稿）</w:t>
      </w:r>
    </w:p>
    <w:p w14:paraId="71BD3E40">
      <w:pPr>
        <w:autoSpaceDE w:val="0"/>
        <w:autoSpaceDN w:val="0"/>
        <w:adjustRightInd w:val="0"/>
        <w:rPr>
          <w:rFonts w:ascii="方正仿宋_GBK" w:eastAsia="方正仿宋_GBK"/>
          <w:sz w:val="32"/>
          <w:szCs w:val="32"/>
        </w:rPr>
      </w:pPr>
    </w:p>
    <w:p w14:paraId="0E2410AD">
      <w:pPr>
        <w:jc w:val="center"/>
        <w:rPr>
          <w:rFonts w:ascii="宋体" w:hAnsi="宋体" w:cs="宋体"/>
          <w:b/>
          <w:sz w:val="44"/>
          <w:szCs w:val="44"/>
        </w:rPr>
      </w:pPr>
    </w:p>
    <w:p w14:paraId="5E067D67">
      <w:pPr>
        <w:jc w:val="center"/>
        <w:rPr>
          <w:rFonts w:ascii="宋体" w:hAnsi="宋体" w:cs="宋体"/>
          <w:b/>
          <w:sz w:val="44"/>
          <w:szCs w:val="44"/>
        </w:rPr>
      </w:pPr>
    </w:p>
    <w:p w14:paraId="3DBC7265">
      <w:pPr>
        <w:jc w:val="center"/>
        <w:rPr>
          <w:rFonts w:ascii="宋体" w:hAnsi="宋体" w:cs="宋体"/>
          <w:b/>
          <w:sz w:val="44"/>
          <w:szCs w:val="44"/>
        </w:rPr>
      </w:pPr>
    </w:p>
    <w:p w14:paraId="6ACAF86E">
      <w:pPr>
        <w:jc w:val="center"/>
        <w:rPr>
          <w:rFonts w:ascii="宋体" w:hAnsi="宋体" w:cs="宋体"/>
          <w:b/>
          <w:sz w:val="44"/>
          <w:szCs w:val="44"/>
        </w:rPr>
      </w:pPr>
    </w:p>
    <w:p w14:paraId="5B4E124E">
      <w:pPr>
        <w:jc w:val="center"/>
        <w:rPr>
          <w:rFonts w:ascii="宋体" w:hAnsi="宋体" w:cs="宋体"/>
          <w:b/>
          <w:sz w:val="44"/>
          <w:szCs w:val="44"/>
        </w:rPr>
      </w:pPr>
    </w:p>
    <w:p w14:paraId="71999888">
      <w:pPr>
        <w:jc w:val="center"/>
        <w:rPr>
          <w:rFonts w:ascii="宋体" w:hAnsi="宋体" w:cs="宋体"/>
          <w:b/>
          <w:sz w:val="44"/>
          <w:szCs w:val="44"/>
        </w:rPr>
      </w:pPr>
    </w:p>
    <w:p w14:paraId="2B1EFD3C">
      <w:pPr>
        <w:jc w:val="center"/>
        <w:rPr>
          <w:rFonts w:ascii="宋体" w:hAnsi="宋体" w:cs="宋体"/>
          <w:b/>
          <w:sz w:val="44"/>
          <w:szCs w:val="44"/>
        </w:rPr>
      </w:pPr>
    </w:p>
    <w:p w14:paraId="46E1F5BF">
      <w:pPr>
        <w:pStyle w:val="13"/>
        <w:ind w:firstLine="210"/>
      </w:pPr>
    </w:p>
    <w:p w14:paraId="2B273600">
      <w:pPr>
        <w:rPr>
          <w:rFonts w:ascii="宋体" w:hAnsi="宋体" w:eastAsia="宋体" w:cs="宋体"/>
          <w:b/>
          <w:sz w:val="44"/>
          <w:szCs w:val="44"/>
        </w:rPr>
      </w:pPr>
    </w:p>
    <w:p w14:paraId="40CA94FB">
      <w:pPr>
        <w:jc w:val="center"/>
        <w:rPr>
          <w:rFonts w:ascii="宋体" w:hAnsi="宋体" w:eastAsia="宋体" w:cs="宋体"/>
          <w:b/>
          <w:sz w:val="44"/>
          <w:szCs w:val="44"/>
        </w:rPr>
      </w:pPr>
    </w:p>
    <w:p w14:paraId="2BA95481">
      <w:pPr>
        <w:jc w:val="center"/>
        <w:rPr>
          <w:rFonts w:hint="eastAsia" w:ascii="宋体" w:hAnsi="宋体" w:eastAsia="宋体" w:cs="宋体"/>
          <w:b/>
          <w:sz w:val="44"/>
          <w:szCs w:val="44"/>
        </w:rPr>
      </w:pPr>
    </w:p>
    <w:p w14:paraId="45A34D01">
      <w:pPr>
        <w:jc w:val="center"/>
        <w:rPr>
          <w:rFonts w:ascii="宋体" w:hAnsi="宋体" w:eastAsia="宋体" w:cs="宋体"/>
          <w:b/>
          <w:sz w:val="44"/>
          <w:szCs w:val="44"/>
        </w:rPr>
      </w:pPr>
      <w:r>
        <w:rPr>
          <w:rFonts w:hint="eastAsia" w:ascii="宋体" w:hAnsi="宋体" w:eastAsia="宋体" w:cs="宋体"/>
          <w:b/>
          <w:sz w:val="44"/>
          <w:szCs w:val="44"/>
        </w:rPr>
        <w:t>第一部分 合同协议书</w:t>
      </w:r>
    </w:p>
    <w:p w14:paraId="7E724E86">
      <w:pPr>
        <w:spacing w:line="360" w:lineRule="auto"/>
        <w:rPr>
          <w:rFonts w:ascii="Calibri" w:hAnsi="Calibri" w:eastAsia="宋体" w:cs="Times New Roman"/>
        </w:rPr>
      </w:pPr>
    </w:p>
    <w:p w14:paraId="7BDCC424">
      <w:pPr>
        <w:spacing w:line="360" w:lineRule="auto"/>
        <w:ind w:left="-359" w:leftChars="-171" w:right="-334" w:rightChars="-159"/>
        <w:rPr>
          <w:rFonts w:ascii="Calibri" w:hAnsi="Calibri" w:eastAsia="宋体" w:cs="Times New Roman"/>
          <w:b/>
          <w:spacing w:val="-20"/>
          <w:sz w:val="24"/>
          <w:u w:val="single"/>
        </w:rPr>
      </w:pPr>
      <w:r>
        <w:rPr>
          <w:rFonts w:hint="eastAsia" w:ascii="Calibri" w:hAnsi="Calibri" w:eastAsia="宋体" w:cs="Times New Roman"/>
          <w:sz w:val="23"/>
          <w:szCs w:val="23"/>
        </w:rPr>
        <w:t>　</w:t>
      </w:r>
      <w:r>
        <w:rPr>
          <w:rFonts w:ascii="Calibri" w:hAnsi="Calibri" w:eastAsia="宋体" w:cs="Times New Roman"/>
          <w:sz w:val="23"/>
          <w:szCs w:val="23"/>
        </w:rPr>
        <w:t xml:space="preserve"> </w:t>
      </w:r>
      <w:r>
        <w:rPr>
          <w:rFonts w:hint="eastAsia" w:ascii="Calibri" w:hAnsi="Calibri" w:eastAsia="宋体" w:cs="Times New Roman"/>
          <w:b/>
          <w:spacing w:val="-20"/>
          <w:sz w:val="24"/>
        </w:rPr>
        <w:t>项目业主：</w:t>
      </w:r>
      <w:r>
        <w:rPr>
          <w:rFonts w:hint="eastAsia" w:ascii="Calibri" w:hAnsi="Calibri" w:eastAsia="宋体" w:cs="Times New Roman"/>
          <w:b/>
          <w:spacing w:val="-20"/>
          <w:sz w:val="24"/>
          <w:u w:val="single"/>
        </w:rPr>
        <w:t>九龙现代（重庆）园区运营管理有限公司</w:t>
      </w:r>
    </w:p>
    <w:p w14:paraId="771EF2E7">
      <w:pPr>
        <w:spacing w:line="360" w:lineRule="auto"/>
        <w:ind w:right="-334" w:rightChars="-159"/>
        <w:rPr>
          <w:rFonts w:ascii="Calibri" w:hAnsi="Calibri" w:eastAsia="宋体" w:cs="Times New Roman"/>
          <w:b/>
          <w:spacing w:val="-20"/>
          <w:sz w:val="24"/>
        </w:rPr>
      </w:pPr>
      <w:r>
        <w:rPr>
          <w:rFonts w:hint="eastAsia" w:ascii="Calibri" w:hAnsi="Calibri" w:eastAsia="宋体" w:cs="Times New Roman"/>
          <w:b/>
          <w:spacing w:val="-20"/>
          <w:sz w:val="24"/>
        </w:rPr>
        <w:t>代理业主：</w:t>
      </w:r>
      <w:r>
        <w:rPr>
          <w:rFonts w:hint="eastAsia" w:ascii="Calibri" w:hAnsi="Calibri" w:eastAsia="宋体" w:cs="Times New Roman"/>
          <w:b/>
          <w:spacing w:val="-20"/>
          <w:sz w:val="24"/>
          <w:u w:val="single"/>
        </w:rPr>
        <w:t>*</w:t>
      </w:r>
      <w:r>
        <w:rPr>
          <w:rFonts w:ascii="Calibri" w:hAnsi="Calibri" w:eastAsia="宋体" w:cs="Times New Roman"/>
          <w:b/>
          <w:spacing w:val="-20"/>
          <w:sz w:val="24"/>
          <w:u w:val="single"/>
        </w:rPr>
        <w:t>**</w:t>
      </w:r>
      <w:r>
        <w:rPr>
          <w:rFonts w:hint="eastAsia" w:ascii="Calibri" w:hAnsi="Calibri" w:eastAsia="宋体" w:cs="Times New Roman"/>
          <w:b/>
          <w:spacing w:val="-20"/>
          <w:sz w:val="24"/>
          <w:u w:val="single"/>
        </w:rPr>
        <w:t>（项目业主、代理业主以下均简称</w:t>
      </w:r>
      <w:r>
        <w:rPr>
          <w:rFonts w:ascii="Calibri" w:hAnsi="Calibri" w:eastAsia="宋体" w:cs="Times New Roman"/>
          <w:b/>
          <w:spacing w:val="-20"/>
          <w:sz w:val="24"/>
          <w:u w:val="single"/>
        </w:rPr>
        <w:t>：发包人</w:t>
      </w:r>
      <w:r>
        <w:rPr>
          <w:rFonts w:hint="eastAsia" w:ascii="Calibri" w:hAnsi="Calibri" w:eastAsia="宋体" w:cs="Times New Roman"/>
          <w:b/>
          <w:spacing w:val="-20"/>
          <w:sz w:val="24"/>
          <w:u w:val="single"/>
        </w:rPr>
        <w:t>）</w:t>
      </w:r>
    </w:p>
    <w:p w14:paraId="37CF7D40">
      <w:pPr>
        <w:spacing w:line="360" w:lineRule="auto"/>
        <w:ind w:right="-334" w:rightChars="-159"/>
        <w:rPr>
          <w:rFonts w:ascii="Calibri" w:hAnsi="Calibri" w:eastAsia="宋体" w:cs="Times New Roman"/>
          <w:b/>
          <w:sz w:val="24"/>
        </w:rPr>
      </w:pPr>
      <w:r>
        <w:rPr>
          <w:rFonts w:hint="eastAsia" w:ascii="Calibri" w:hAnsi="Calibri" w:eastAsia="宋体" w:cs="Times New Roman"/>
          <w:b/>
          <w:sz w:val="24"/>
        </w:rPr>
        <w:t>承 包 人：</w:t>
      </w:r>
      <w:r>
        <w:rPr>
          <w:rFonts w:hint="eastAsia" w:ascii="Calibri" w:hAnsi="Calibri" w:eastAsia="宋体" w:cs="Times New Roman"/>
          <w:bCs/>
          <w:spacing w:val="-20"/>
          <w:sz w:val="24"/>
          <w:u w:val="single"/>
        </w:rPr>
        <w:t>*************************</w:t>
      </w:r>
      <w:r>
        <w:rPr>
          <w:rFonts w:ascii="Calibri" w:hAnsi="Calibri" w:eastAsia="宋体" w:cs="Times New Roman"/>
          <w:bCs/>
          <w:spacing w:val="-20"/>
          <w:sz w:val="24"/>
          <w:u w:val="single"/>
        </w:rPr>
        <w:t xml:space="preserve"> </w:t>
      </w:r>
      <w:r>
        <w:rPr>
          <w:rFonts w:ascii="Calibri" w:hAnsi="Calibri" w:eastAsia="宋体" w:cs="Times New Roman"/>
          <w:b/>
          <w:sz w:val="24"/>
          <w:u w:val="single"/>
        </w:rPr>
        <w:t xml:space="preserve"> </w:t>
      </w:r>
      <w:r>
        <w:rPr>
          <w:rFonts w:ascii="Calibri" w:hAnsi="Calibri" w:eastAsia="宋体" w:cs="Times New Roman"/>
          <w:b/>
          <w:sz w:val="24"/>
        </w:rPr>
        <w:t xml:space="preserve">  </w:t>
      </w:r>
    </w:p>
    <w:p w14:paraId="4D0A8FD9">
      <w:pPr>
        <w:widowControl/>
        <w:shd w:val="clear" w:color="auto" w:fill="FFFFFF"/>
        <w:spacing w:line="600" w:lineRule="atLeast"/>
        <w:ind w:firstLine="720" w:firstLineChars="300"/>
        <w:jc w:val="left"/>
        <w:textAlignment w:val="baseline"/>
        <w:rPr>
          <w:rFonts w:ascii="宋体" w:hAnsi="宋体" w:eastAsia="宋体" w:cs="宋体"/>
          <w:kern w:val="0"/>
          <w:sz w:val="24"/>
          <w:szCs w:val="24"/>
        </w:rPr>
      </w:pPr>
      <w:r>
        <w:rPr>
          <w:rFonts w:hint="eastAsia" w:ascii="宋体" w:hAnsi="宋体" w:eastAsia="宋体" w:cs="宋体"/>
          <w:kern w:val="0"/>
          <w:sz w:val="24"/>
          <w:szCs w:val="24"/>
        </w:rPr>
        <w:t>依照《中华人民共和国民法典》、《中华人民共和国建筑法》及其他有关法律、行政法规、遵循平等、自愿、公平和诚实信用的原则，双方就枢纽港九龙园黄磏临港产业服务城—钢结构加固工程协商一致，订立本合同。</w:t>
      </w:r>
    </w:p>
    <w:p w14:paraId="51F279D0">
      <w:pPr>
        <w:autoSpaceDE w:val="0"/>
        <w:autoSpaceDN w:val="0"/>
        <w:adjustRightInd w:val="0"/>
        <w:spacing w:before="100" w:after="100" w:line="500" w:lineRule="exact"/>
        <w:ind w:left="-359" w:leftChars="-171" w:right="-334" w:rightChars="-159" w:firstLine="769" w:firstLineChars="319"/>
        <w:jc w:val="left"/>
        <w:rPr>
          <w:rFonts w:ascii="宋体" w:hAnsi="宋体" w:eastAsia="宋体" w:cs="宋体"/>
          <w:b/>
          <w:kern w:val="0"/>
          <w:sz w:val="24"/>
          <w:szCs w:val="24"/>
        </w:rPr>
      </w:pPr>
      <w:r>
        <w:rPr>
          <w:rFonts w:hint="eastAsia" w:ascii="宋体" w:hAnsi="宋体" w:eastAsia="宋体" w:cs="宋体"/>
          <w:b/>
          <w:kern w:val="0"/>
          <w:sz w:val="24"/>
          <w:szCs w:val="24"/>
        </w:rPr>
        <w:t>第一条 工程概况</w:t>
      </w:r>
    </w:p>
    <w:p w14:paraId="0B97B613">
      <w:pPr>
        <w:widowControl/>
        <w:shd w:val="clear" w:color="auto" w:fill="FFFFFF"/>
        <w:spacing w:line="600" w:lineRule="atLeast"/>
        <w:jc w:val="center"/>
        <w:textAlignment w:val="baseline"/>
        <w:rPr>
          <w:rFonts w:hint="eastAsia" w:ascii="宋体" w:hAnsi="宋体" w:eastAsia="宋体" w:cs="宋体"/>
          <w:kern w:val="0"/>
          <w:sz w:val="24"/>
          <w:szCs w:val="24"/>
        </w:rPr>
      </w:pPr>
      <w:r>
        <w:rPr>
          <w:rFonts w:hint="eastAsia" w:ascii="宋体" w:hAnsi="宋体" w:eastAsia="宋体" w:cs="宋体"/>
          <w:b/>
          <w:kern w:val="0"/>
          <w:sz w:val="24"/>
          <w:szCs w:val="20"/>
        </w:rPr>
        <w:t>1.1 工程名称：</w:t>
      </w:r>
      <w:r>
        <w:rPr>
          <w:rFonts w:hint="eastAsia" w:ascii="宋体" w:hAnsi="宋体" w:eastAsia="宋体" w:cs="宋体"/>
          <w:b/>
          <w:kern w:val="0"/>
          <w:sz w:val="24"/>
          <w:szCs w:val="24"/>
          <w:u w:val="single"/>
        </w:rPr>
        <w:t>枢纽港九龙园黄磏临港产业服务城—钢结构加固工程</w:t>
      </w:r>
    </w:p>
    <w:p w14:paraId="71FE58CA">
      <w:pPr>
        <w:spacing w:line="500" w:lineRule="exact"/>
        <w:ind w:firstLine="964" w:firstLineChars="400"/>
        <w:rPr>
          <w:rFonts w:ascii="宋体" w:hAnsi="宋体" w:eastAsia="宋体" w:cs="宋体"/>
          <w:b/>
          <w:kern w:val="0"/>
          <w:sz w:val="24"/>
          <w:u w:val="single"/>
        </w:rPr>
      </w:pPr>
      <w:r>
        <w:rPr>
          <w:rFonts w:hint="eastAsia" w:ascii="宋体" w:hAnsi="宋体" w:eastAsia="宋体" w:cs="宋体"/>
          <w:b/>
          <w:sz w:val="24"/>
        </w:rPr>
        <w:t>1.2 工程地点：</w:t>
      </w:r>
      <w:r>
        <w:rPr>
          <w:rFonts w:hint="eastAsia" w:ascii="宋体" w:hAnsi="宋体" w:eastAsia="宋体" w:cs="宋体"/>
          <w:color w:val="FF0000"/>
          <w:kern w:val="0"/>
          <w:sz w:val="24"/>
          <w:u w:val="single"/>
        </w:rPr>
        <w:t>九龙坡区西彭园区</w:t>
      </w:r>
      <w:r>
        <w:rPr>
          <w:rFonts w:hint="eastAsia" w:ascii="宋体" w:hAnsi="宋体" w:eastAsia="宋体" w:cs="宋体"/>
          <w:kern w:val="0"/>
          <w:sz w:val="24"/>
          <w:u w:val="single"/>
        </w:rPr>
        <w:t>。</w:t>
      </w:r>
    </w:p>
    <w:p w14:paraId="703824C8">
      <w:pPr>
        <w:spacing w:line="500" w:lineRule="exact"/>
        <w:ind w:firstLine="964" w:firstLineChars="400"/>
        <w:rPr>
          <w:rFonts w:ascii="宋体" w:hAnsi="宋体" w:eastAsia="宋体" w:cs="宋体"/>
          <w:b/>
          <w:kern w:val="0"/>
          <w:sz w:val="24"/>
        </w:rPr>
      </w:pPr>
      <w:r>
        <w:rPr>
          <w:rFonts w:hint="eastAsia" w:ascii="宋体" w:hAnsi="宋体" w:eastAsia="宋体" w:cs="宋体"/>
          <w:b/>
          <w:kern w:val="0"/>
          <w:sz w:val="24"/>
        </w:rPr>
        <w:t>1.3 资金来源：</w:t>
      </w:r>
      <w:r>
        <w:rPr>
          <w:rFonts w:hint="eastAsia" w:ascii="宋体" w:hAnsi="宋体" w:eastAsia="宋体" w:cs="宋体"/>
          <w:kern w:val="0"/>
          <w:sz w:val="24"/>
          <w:u w:val="single"/>
        </w:rPr>
        <w:t>业主自筹。</w:t>
      </w:r>
    </w:p>
    <w:p w14:paraId="4C21E2C9">
      <w:pPr>
        <w:snapToGrid w:val="0"/>
        <w:spacing w:line="500" w:lineRule="exact"/>
        <w:ind w:firstLine="964" w:firstLineChars="400"/>
        <w:rPr>
          <w:rFonts w:ascii="宋体" w:hAnsi="宋体" w:eastAsia="宋体" w:cs="宋体"/>
          <w:kern w:val="0"/>
          <w:sz w:val="24"/>
          <w:szCs w:val="24"/>
        </w:rPr>
      </w:pPr>
      <w:r>
        <w:rPr>
          <w:rFonts w:hint="eastAsia" w:ascii="宋体" w:hAnsi="宋体" w:eastAsia="宋体" w:cs="宋体"/>
          <w:b/>
          <w:sz w:val="24"/>
        </w:rPr>
        <w:t xml:space="preserve">1.4 </w:t>
      </w:r>
      <w:r>
        <w:rPr>
          <w:rFonts w:hint="eastAsia" w:ascii="Calibri" w:hAnsi="Calibri" w:eastAsia="宋体" w:cs="宋体"/>
          <w:b/>
        </w:rPr>
        <w:t>工程内容：</w:t>
      </w:r>
      <w:r>
        <w:rPr>
          <w:rFonts w:hint="eastAsia" w:ascii="宋体" w:hAnsi="宋体" w:eastAsia="宋体" w:cs="宋体"/>
          <w:kern w:val="0"/>
          <w:sz w:val="24"/>
          <w:szCs w:val="24"/>
        </w:rPr>
        <w:t>加工仓牛腿以上钢柱加固，屋面梁加固，不含屋面檀条、屋面板、支撑、系杆、牛腿以下钢柱及基础加固，详见工程量清单及施工图纸。</w:t>
      </w:r>
    </w:p>
    <w:p w14:paraId="7C24935E">
      <w:pPr>
        <w:snapToGrid w:val="0"/>
        <w:spacing w:line="500" w:lineRule="exact"/>
        <w:ind w:firstLine="964" w:firstLineChars="400"/>
        <w:rPr>
          <w:rFonts w:ascii="宋体" w:hAnsi="宋体" w:eastAsia="宋体" w:cs="宋体"/>
          <w:kern w:val="0"/>
          <w:sz w:val="24"/>
          <w:szCs w:val="24"/>
        </w:rPr>
      </w:pPr>
      <w:r>
        <w:rPr>
          <w:rFonts w:hint="eastAsia" w:ascii="宋体" w:hAnsi="宋体" w:eastAsia="宋体" w:cs="宋体"/>
          <w:b/>
          <w:sz w:val="24"/>
        </w:rPr>
        <w:t>1.</w:t>
      </w:r>
      <w:r>
        <w:rPr>
          <w:rFonts w:ascii="宋体" w:hAnsi="宋体" w:eastAsia="宋体" w:cs="宋体"/>
          <w:b/>
          <w:sz w:val="24"/>
        </w:rPr>
        <w:t>5</w:t>
      </w:r>
      <w:r>
        <w:rPr>
          <w:rFonts w:hint="eastAsia" w:ascii="宋体" w:hAnsi="宋体" w:eastAsia="宋体" w:cs="宋体"/>
          <w:b/>
          <w:sz w:val="24"/>
        </w:rPr>
        <w:t xml:space="preserve"> </w:t>
      </w:r>
      <w:r>
        <w:rPr>
          <w:rFonts w:hint="eastAsia" w:ascii="Calibri" w:hAnsi="Calibri" w:eastAsia="宋体" w:cs="宋体"/>
          <w:b/>
        </w:rPr>
        <w:t>工程承包范围：</w:t>
      </w:r>
      <w:r>
        <w:rPr>
          <w:rFonts w:hint="eastAsia" w:ascii="宋体" w:hAnsi="宋体" w:eastAsia="宋体" w:cs="宋体"/>
          <w:kern w:val="0"/>
          <w:sz w:val="24"/>
          <w:szCs w:val="24"/>
        </w:rPr>
        <w:t>加工仓牛腿以上钢柱加固，屋面梁加固，不含屋面檀条、屋面板、支撑、系杆、牛腿以下钢柱及基础加固，详见工程量清单及施工图纸。</w:t>
      </w:r>
    </w:p>
    <w:p w14:paraId="63ED65C1">
      <w:pPr>
        <w:snapToGrid w:val="0"/>
        <w:spacing w:line="500" w:lineRule="exact"/>
        <w:ind w:firstLine="482" w:firstLineChars="200"/>
        <w:rPr>
          <w:rFonts w:ascii="Calibri" w:hAnsi="Calibri" w:eastAsia="宋体" w:cs="宋体"/>
          <w:b/>
          <w:sz w:val="24"/>
        </w:rPr>
      </w:pPr>
      <w:r>
        <w:rPr>
          <w:rFonts w:hint="eastAsia" w:ascii="宋体" w:hAnsi="宋体" w:eastAsia="宋体" w:cs="宋体"/>
          <w:b/>
          <w:kern w:val="0"/>
          <w:sz w:val="24"/>
        </w:rPr>
        <w:t>二条</w:t>
      </w:r>
      <w:r>
        <w:rPr>
          <w:rFonts w:hint="eastAsia" w:ascii="Calibri" w:hAnsi="Calibri" w:eastAsia="宋体" w:cs="宋体"/>
          <w:b/>
          <w:sz w:val="24"/>
        </w:rPr>
        <w:t xml:space="preserve"> 合同工期</w:t>
      </w:r>
    </w:p>
    <w:p w14:paraId="463D91A3">
      <w:pPr>
        <w:autoSpaceDE w:val="0"/>
        <w:autoSpaceDN w:val="0"/>
        <w:adjustRightInd w:val="0"/>
        <w:spacing w:before="100" w:after="100" w:line="500" w:lineRule="exact"/>
        <w:ind w:left="-359" w:leftChars="-171" w:right="-334" w:rightChars="-159" w:firstLine="720" w:firstLineChars="300"/>
        <w:jc w:val="left"/>
        <w:rPr>
          <w:rFonts w:ascii="宋体" w:hAnsi="宋体" w:eastAsia="宋体" w:cs="宋体"/>
          <w:kern w:val="0"/>
          <w:sz w:val="24"/>
          <w:szCs w:val="24"/>
        </w:rPr>
      </w:pPr>
      <w:r>
        <w:rPr>
          <w:rFonts w:hint="eastAsia" w:ascii="宋体" w:hAnsi="宋体" w:eastAsia="宋体" w:cs="宋体"/>
          <w:kern w:val="0"/>
          <w:sz w:val="24"/>
          <w:szCs w:val="24"/>
        </w:rPr>
        <w:t>2.1 开（竣）工日期：</w:t>
      </w:r>
      <w:r>
        <w:rPr>
          <w:rFonts w:hint="eastAsia" w:ascii="宋体" w:hAnsi="宋体" w:eastAsia="宋体" w:cs="宋体"/>
          <w:kern w:val="0"/>
          <w:sz w:val="24"/>
          <w:szCs w:val="24"/>
          <w:u w:val="single"/>
        </w:rPr>
        <w:t>具体以开（竣）工报告日期为准。</w:t>
      </w:r>
    </w:p>
    <w:p w14:paraId="2FB22354">
      <w:pPr>
        <w:autoSpaceDE w:val="0"/>
        <w:autoSpaceDN w:val="0"/>
        <w:adjustRightInd w:val="0"/>
        <w:spacing w:before="100" w:after="100" w:line="500" w:lineRule="exact"/>
        <w:ind w:left="-359" w:leftChars="-171" w:right="-334" w:rightChars="-159" w:firstLine="720" w:firstLineChars="300"/>
        <w:jc w:val="left"/>
        <w:rPr>
          <w:rFonts w:ascii="宋体" w:hAnsi="宋体" w:eastAsia="宋体" w:cs="宋体"/>
          <w:kern w:val="0"/>
          <w:sz w:val="24"/>
          <w:szCs w:val="24"/>
          <w:u w:val="single"/>
        </w:rPr>
      </w:pPr>
      <w:r>
        <w:rPr>
          <w:rFonts w:hint="eastAsia" w:ascii="宋体" w:hAnsi="宋体" w:eastAsia="宋体" w:cs="宋体"/>
          <w:kern w:val="0"/>
          <w:sz w:val="24"/>
          <w:szCs w:val="24"/>
        </w:rPr>
        <w:t>2.2 合同工期总日历天数:</w:t>
      </w:r>
      <w:r>
        <w:rPr>
          <w:rFonts w:ascii="宋体" w:hAnsi="宋体" w:eastAsia="宋体" w:cs="宋体"/>
          <w:kern w:val="0"/>
          <w:sz w:val="24"/>
          <w:szCs w:val="24"/>
          <w:u w:val="single"/>
        </w:rPr>
        <w:t>30</w:t>
      </w:r>
      <w:r>
        <w:rPr>
          <w:rFonts w:hint="eastAsia" w:ascii="宋体" w:hAnsi="宋体" w:eastAsia="宋体" w:cs="宋体"/>
          <w:kern w:val="0"/>
          <w:sz w:val="24"/>
          <w:szCs w:val="24"/>
          <w:u w:val="single"/>
        </w:rPr>
        <w:t>日历天。</w:t>
      </w:r>
    </w:p>
    <w:p w14:paraId="1D3B817D">
      <w:pPr>
        <w:autoSpaceDE w:val="0"/>
        <w:autoSpaceDN w:val="0"/>
        <w:adjustRightInd w:val="0"/>
        <w:spacing w:before="100" w:after="100" w:line="500" w:lineRule="exact"/>
        <w:ind w:right="-334" w:rightChars="-159" w:firstLine="482" w:firstLineChars="200"/>
        <w:jc w:val="left"/>
        <w:rPr>
          <w:rFonts w:ascii="宋体" w:hAnsi="宋体" w:eastAsia="宋体" w:cs="宋体"/>
          <w:b/>
          <w:kern w:val="0"/>
          <w:sz w:val="24"/>
          <w:szCs w:val="24"/>
        </w:rPr>
      </w:pPr>
      <w:r>
        <w:rPr>
          <w:rFonts w:hint="eastAsia" w:ascii="宋体" w:hAnsi="宋体" w:eastAsia="宋体" w:cs="宋体"/>
          <w:b/>
          <w:kern w:val="0"/>
          <w:sz w:val="24"/>
          <w:szCs w:val="24"/>
        </w:rPr>
        <w:t xml:space="preserve">第三条 </w:t>
      </w:r>
      <w:r>
        <w:rPr>
          <w:rFonts w:hint="eastAsia" w:ascii="宋体" w:hAnsi="宋体" w:eastAsia="宋体" w:cs="Times New Roman"/>
          <w:b/>
          <w:kern w:val="0"/>
          <w:sz w:val="24"/>
          <w:szCs w:val="20"/>
        </w:rPr>
        <w:t>质量标准</w:t>
      </w:r>
    </w:p>
    <w:p w14:paraId="2A92B26B">
      <w:pPr>
        <w:snapToGrid w:val="0"/>
        <w:spacing w:line="360" w:lineRule="auto"/>
        <w:ind w:firstLine="477" w:firstLineChars="199"/>
        <w:rPr>
          <w:rFonts w:ascii="宋体" w:hAnsi="宋体" w:eastAsia="宋体" w:cs="宋体"/>
          <w:kern w:val="0"/>
          <w:sz w:val="24"/>
          <w:szCs w:val="24"/>
        </w:rPr>
      </w:pPr>
      <w:r>
        <w:rPr>
          <w:rFonts w:ascii="宋体" w:hAnsi="宋体" w:eastAsia="宋体" w:cs="宋体"/>
          <w:kern w:val="0"/>
          <w:sz w:val="24"/>
          <w:szCs w:val="24"/>
        </w:rPr>
        <w:t>3.</w:t>
      </w:r>
      <w:r>
        <w:rPr>
          <w:rFonts w:hint="eastAsia" w:ascii="宋体" w:hAnsi="宋体" w:eastAsia="宋体" w:cs="宋体"/>
          <w:kern w:val="0"/>
          <w:sz w:val="24"/>
          <w:szCs w:val="24"/>
        </w:rPr>
        <w:t>1达到国家现行有关施工质量验收规范要求，达到合格标准。</w:t>
      </w:r>
    </w:p>
    <w:p w14:paraId="73FE38FE">
      <w:pPr>
        <w:tabs>
          <w:tab w:val="left" w:pos="3840"/>
        </w:tabs>
        <w:autoSpaceDE w:val="0"/>
        <w:autoSpaceDN w:val="0"/>
        <w:spacing w:line="360" w:lineRule="auto"/>
        <w:ind w:firstLine="480" w:firstLineChars="200"/>
        <w:rPr>
          <w:rFonts w:ascii="宋体" w:hAnsi="宋体" w:eastAsia="宋体" w:cs="宋体"/>
          <w:kern w:val="0"/>
          <w:sz w:val="24"/>
          <w:szCs w:val="24"/>
        </w:rPr>
      </w:pPr>
      <w:r>
        <w:rPr>
          <w:rFonts w:ascii="宋体" w:hAnsi="宋体" w:eastAsia="宋体" w:cs="宋体"/>
          <w:kern w:val="0"/>
          <w:sz w:val="24"/>
          <w:szCs w:val="24"/>
        </w:rPr>
        <w:t>3.2对未按标准</w:t>
      </w:r>
      <w:r>
        <w:rPr>
          <w:rFonts w:hint="eastAsia" w:ascii="宋体" w:hAnsi="宋体" w:eastAsia="宋体" w:cs="宋体"/>
          <w:kern w:val="0"/>
          <w:sz w:val="24"/>
          <w:szCs w:val="24"/>
        </w:rPr>
        <w:t>、</w:t>
      </w:r>
      <w:r>
        <w:rPr>
          <w:rFonts w:ascii="宋体" w:hAnsi="宋体" w:eastAsia="宋体" w:cs="宋体"/>
          <w:kern w:val="0"/>
          <w:sz w:val="24"/>
          <w:szCs w:val="24"/>
        </w:rPr>
        <w:t>要求采购的材料，一经发现用于本工程，必须重新返工，造成的损失和各种费用由承包方承担</w:t>
      </w:r>
      <w:r>
        <w:rPr>
          <w:rFonts w:hint="eastAsia" w:ascii="宋体" w:hAnsi="宋体" w:eastAsia="宋体" w:cs="宋体"/>
          <w:kern w:val="0"/>
          <w:sz w:val="24"/>
          <w:szCs w:val="24"/>
        </w:rPr>
        <w:t>。</w:t>
      </w:r>
    </w:p>
    <w:p w14:paraId="17E04B6D">
      <w:pPr>
        <w:autoSpaceDE w:val="0"/>
        <w:autoSpaceDN w:val="0"/>
        <w:adjustRightInd w:val="0"/>
        <w:spacing w:before="100" w:after="100" w:line="500" w:lineRule="exact"/>
        <w:ind w:right="-334" w:rightChars="-159" w:firstLine="482" w:firstLineChars="200"/>
        <w:jc w:val="left"/>
        <w:rPr>
          <w:rFonts w:ascii="宋体" w:hAnsi="宋体" w:eastAsia="宋体" w:cs="宋体"/>
          <w:b/>
          <w:bCs/>
          <w:kern w:val="0"/>
          <w:sz w:val="24"/>
          <w:szCs w:val="24"/>
        </w:rPr>
      </w:pPr>
      <w:r>
        <w:rPr>
          <w:rFonts w:hint="eastAsia" w:ascii="宋体" w:hAnsi="宋体" w:eastAsia="宋体" w:cs="宋体"/>
          <w:b/>
          <w:bCs/>
          <w:kern w:val="0"/>
          <w:sz w:val="24"/>
          <w:szCs w:val="24"/>
        </w:rPr>
        <w:t>第四条 签约合同价及合同形式</w:t>
      </w:r>
    </w:p>
    <w:p w14:paraId="7B2BCA2F">
      <w:pPr>
        <w:spacing w:line="500" w:lineRule="exact"/>
        <w:ind w:firstLine="482" w:firstLineChars="200"/>
        <w:rPr>
          <w:rFonts w:ascii="Calibri" w:hAnsi="Calibri" w:eastAsia="宋体" w:cs="Times New Roman"/>
          <w:sz w:val="24"/>
        </w:rPr>
      </w:pPr>
      <w:r>
        <w:rPr>
          <w:rFonts w:hint="eastAsia" w:ascii="宋体" w:hAnsi="宋体" w:eastAsia="宋体" w:cs="宋体"/>
          <w:b/>
          <w:bCs/>
          <w:kern w:val="0"/>
          <w:sz w:val="24"/>
        </w:rPr>
        <w:t>4.1 签约合同价：</w:t>
      </w:r>
      <w:r>
        <w:rPr>
          <w:rFonts w:hint="eastAsia" w:ascii="Calibri" w:hAnsi="Calibri" w:eastAsia="宋体" w:cs="Times New Roman"/>
          <w:sz w:val="24"/>
        </w:rPr>
        <w:t>金额(大写)：</w:t>
      </w:r>
      <w:r>
        <w:rPr>
          <w:rFonts w:hint="eastAsia" w:ascii="Calibri" w:hAnsi="Calibri" w:eastAsia="宋体" w:cs="Times New Roman"/>
          <w:b/>
          <w:sz w:val="28"/>
          <w:szCs w:val="28"/>
          <w:u w:val="single"/>
        </w:rPr>
        <w:t>***********</w:t>
      </w:r>
      <w:r>
        <w:rPr>
          <w:rFonts w:hint="eastAsia" w:ascii="Calibri" w:hAnsi="Calibri" w:eastAsia="宋体" w:cs="Times New Roman"/>
          <w:sz w:val="24"/>
        </w:rPr>
        <w:t>(人民币)(小写)￥：</w:t>
      </w:r>
      <w:r>
        <w:rPr>
          <w:rFonts w:hint="eastAsia" w:ascii="宋体" w:hAnsi="宋体" w:eastAsia="宋体" w:cs="Times New Roman"/>
          <w:b/>
          <w:sz w:val="24"/>
          <w:u w:val="single"/>
        </w:rPr>
        <w:t>*********</w:t>
      </w:r>
      <w:r>
        <w:rPr>
          <w:rFonts w:hint="eastAsia" w:ascii="Calibri" w:hAnsi="Calibri" w:eastAsia="宋体" w:cs="Times New Roman"/>
          <w:sz w:val="24"/>
        </w:rPr>
        <w:t>元。</w:t>
      </w:r>
    </w:p>
    <w:p w14:paraId="24452368">
      <w:pPr>
        <w:spacing w:line="500" w:lineRule="exact"/>
        <w:ind w:firstLine="480" w:firstLineChars="200"/>
        <w:rPr>
          <w:rFonts w:ascii="Calibri" w:hAnsi="Calibri" w:eastAsia="宋体" w:cs="Times New Roman"/>
          <w:sz w:val="24"/>
        </w:rPr>
      </w:pPr>
      <w:r>
        <w:rPr>
          <w:rFonts w:hint="eastAsia" w:ascii="Calibri" w:hAnsi="Calibri" w:eastAsia="宋体" w:cs="Times New Roman"/>
          <w:sz w:val="24"/>
        </w:rPr>
        <w:t>其中：安全文明施工费:</w:t>
      </w:r>
      <w:r>
        <w:rPr>
          <w:rFonts w:hint="eastAsia" w:ascii="Calibri" w:hAnsi="Calibri" w:eastAsia="宋体" w:cs="Times New Roman"/>
          <w:sz w:val="24"/>
          <w:u w:val="single"/>
        </w:rPr>
        <w:t>********</w:t>
      </w:r>
      <w:r>
        <w:rPr>
          <w:rFonts w:hint="eastAsia" w:ascii="Calibri" w:hAnsi="Calibri" w:eastAsia="宋体" w:cs="Times New Roman"/>
          <w:sz w:val="24"/>
        </w:rPr>
        <w:t>元。</w:t>
      </w:r>
    </w:p>
    <w:p w14:paraId="0D576314">
      <w:pPr>
        <w:spacing w:line="500" w:lineRule="exact"/>
        <w:rPr>
          <w:rFonts w:ascii="Calibri" w:hAnsi="Calibri" w:eastAsia="宋体" w:cs="Times New Roman"/>
          <w:sz w:val="24"/>
        </w:rPr>
      </w:pPr>
      <w:r>
        <w:rPr>
          <w:rFonts w:hint="eastAsia" w:ascii="Calibri" w:hAnsi="Calibri" w:eastAsia="宋体" w:cs="Times New Roman"/>
          <w:sz w:val="24"/>
        </w:rPr>
        <w:t>　　暂列金额：</w:t>
      </w:r>
      <w:r>
        <w:rPr>
          <w:rFonts w:hint="eastAsia" w:ascii="Calibri" w:hAnsi="Calibri" w:eastAsia="宋体" w:cs="Times New Roman"/>
          <w:sz w:val="24"/>
          <w:u w:val="single"/>
        </w:rPr>
        <w:t>********</w:t>
      </w:r>
      <w:r>
        <w:rPr>
          <w:rFonts w:hint="eastAsia" w:ascii="Calibri" w:hAnsi="Calibri" w:eastAsia="宋体" w:cs="Times New Roman"/>
          <w:sz w:val="24"/>
        </w:rPr>
        <w:t>元(其中计日工金额</w:t>
      </w:r>
      <w:r>
        <w:rPr>
          <w:rFonts w:hint="eastAsia" w:ascii="宋体" w:hAnsi="宋体" w:eastAsia="宋体" w:cs="Times New Roman"/>
          <w:b/>
          <w:sz w:val="24"/>
          <w:u w:val="single"/>
        </w:rPr>
        <w:t>*******</w:t>
      </w:r>
      <w:r>
        <w:rPr>
          <w:rFonts w:hint="eastAsia" w:ascii="Calibri" w:hAnsi="Calibri" w:eastAsia="宋体" w:cs="Times New Roman"/>
          <w:sz w:val="24"/>
        </w:rPr>
        <w:t>元)。</w:t>
      </w:r>
    </w:p>
    <w:p w14:paraId="05279E62">
      <w:pPr>
        <w:spacing w:line="500" w:lineRule="exact"/>
        <w:rPr>
          <w:rFonts w:ascii="Calibri" w:hAnsi="Calibri" w:eastAsia="宋体" w:cs="Times New Roman"/>
          <w:sz w:val="24"/>
        </w:rPr>
      </w:pPr>
      <w:r>
        <w:rPr>
          <w:rFonts w:hint="eastAsia" w:ascii="Calibri" w:hAnsi="Calibri" w:eastAsia="宋体" w:cs="Times New Roman"/>
          <w:sz w:val="24"/>
        </w:rPr>
        <w:t>　　材料和工程设备暂估价：</w:t>
      </w:r>
      <w:r>
        <w:rPr>
          <w:rFonts w:hint="eastAsia" w:ascii="宋体" w:hAnsi="宋体" w:eastAsia="宋体" w:cs="Times New Roman"/>
          <w:b/>
          <w:sz w:val="24"/>
          <w:u w:val="single"/>
        </w:rPr>
        <w:t>********</w:t>
      </w:r>
      <w:r>
        <w:rPr>
          <w:rFonts w:hint="eastAsia" w:ascii="Calibri" w:hAnsi="Calibri" w:eastAsia="宋体" w:cs="Times New Roman"/>
          <w:sz w:val="24"/>
        </w:rPr>
        <w:t>元。</w:t>
      </w:r>
    </w:p>
    <w:p w14:paraId="087C666B">
      <w:pPr>
        <w:spacing w:line="500" w:lineRule="exact"/>
        <w:ind w:firstLine="480"/>
        <w:rPr>
          <w:rFonts w:ascii="Calibri" w:hAnsi="Calibri" w:eastAsia="宋体" w:cs="Times New Roman"/>
          <w:sz w:val="24"/>
        </w:rPr>
      </w:pPr>
      <w:r>
        <w:rPr>
          <w:rFonts w:hint="eastAsia" w:ascii="Calibri" w:hAnsi="Calibri" w:eastAsia="宋体" w:cs="Times New Roman"/>
          <w:sz w:val="24"/>
        </w:rPr>
        <w:t>专业工程暂估价：</w:t>
      </w:r>
      <w:r>
        <w:rPr>
          <w:rFonts w:hint="eastAsia" w:ascii="宋体" w:hAnsi="宋体" w:eastAsia="宋体" w:cs="Times New Roman"/>
          <w:b/>
          <w:sz w:val="24"/>
          <w:u w:val="single"/>
        </w:rPr>
        <w:t>*******</w:t>
      </w:r>
      <w:r>
        <w:rPr>
          <w:rFonts w:hint="eastAsia" w:ascii="Calibri" w:hAnsi="Calibri" w:eastAsia="宋体" w:cs="Times New Roman"/>
          <w:sz w:val="24"/>
        </w:rPr>
        <w:t>元。</w:t>
      </w:r>
    </w:p>
    <w:p w14:paraId="5D082752">
      <w:pPr>
        <w:autoSpaceDE w:val="0"/>
        <w:autoSpaceDN w:val="0"/>
        <w:adjustRightInd w:val="0"/>
        <w:spacing w:before="100" w:after="100" w:line="500" w:lineRule="exact"/>
        <w:ind w:right="-334" w:rightChars="-159" w:firstLine="482" w:firstLineChars="200"/>
        <w:jc w:val="left"/>
        <w:rPr>
          <w:rFonts w:ascii="宋体" w:hAnsi="宋体" w:eastAsia="宋体" w:cs="Times New Roman"/>
          <w:kern w:val="0"/>
          <w:sz w:val="24"/>
          <w:szCs w:val="20"/>
          <w:u w:val="single"/>
        </w:rPr>
      </w:pPr>
      <w:r>
        <w:rPr>
          <w:rFonts w:hint="eastAsia" w:ascii="宋体" w:hAnsi="宋体" w:eastAsia="宋体" w:cs="Times New Roman"/>
          <w:b/>
          <w:bCs/>
          <w:kern w:val="0"/>
          <w:sz w:val="24"/>
          <w:szCs w:val="20"/>
        </w:rPr>
        <w:t>4.2 合同价格形式</w:t>
      </w:r>
      <w:r>
        <w:rPr>
          <w:rFonts w:hint="eastAsia" w:ascii="宋体" w:hAnsi="宋体" w:eastAsia="宋体" w:cs="Times New Roman"/>
          <w:kern w:val="0"/>
          <w:sz w:val="24"/>
          <w:szCs w:val="20"/>
        </w:rPr>
        <w:t>：</w:t>
      </w:r>
      <w:r>
        <w:rPr>
          <w:rFonts w:hint="eastAsia" w:ascii="宋体" w:hAnsi="宋体" w:eastAsia="宋体" w:cs="Times New Roman"/>
          <w:b/>
          <w:kern w:val="0"/>
          <w:sz w:val="24"/>
          <w:szCs w:val="20"/>
          <w:u w:val="single"/>
        </w:rPr>
        <w:t>总价包干合同</w:t>
      </w:r>
      <w:r>
        <w:rPr>
          <w:rFonts w:hint="eastAsia" w:ascii="宋体" w:hAnsi="宋体" w:eastAsia="宋体" w:cs="Times New Roman"/>
          <w:kern w:val="0"/>
          <w:sz w:val="24"/>
          <w:szCs w:val="20"/>
        </w:rPr>
        <w:t>。</w:t>
      </w:r>
    </w:p>
    <w:p w14:paraId="5D80AA62">
      <w:pPr>
        <w:spacing w:line="500" w:lineRule="exact"/>
        <w:ind w:firstLine="602" w:firstLineChars="250"/>
        <w:rPr>
          <w:rFonts w:ascii="Calibri" w:hAnsi="Calibri" w:eastAsia="宋体" w:cs="Times New Roman"/>
          <w:b/>
          <w:bCs/>
          <w:sz w:val="24"/>
        </w:rPr>
      </w:pPr>
      <w:r>
        <w:rPr>
          <w:rFonts w:hint="eastAsia" w:ascii="Calibri" w:hAnsi="Calibri" w:eastAsia="宋体" w:cs="Times New Roman"/>
          <w:b/>
          <w:bCs/>
          <w:sz w:val="24"/>
        </w:rPr>
        <w:t>第五条 承包人项目经理：</w:t>
      </w:r>
    </w:p>
    <w:p w14:paraId="4767FB8F">
      <w:pPr>
        <w:spacing w:line="500" w:lineRule="exact"/>
        <w:ind w:firstLine="600" w:firstLineChars="250"/>
        <w:rPr>
          <w:rFonts w:ascii="Calibri" w:hAnsi="Calibri" w:eastAsia="宋体" w:cs="Times New Roman"/>
          <w:sz w:val="24"/>
        </w:rPr>
      </w:pPr>
      <w:r>
        <w:rPr>
          <w:rFonts w:hint="eastAsia" w:ascii="Calibri" w:hAnsi="Calibri" w:eastAsia="宋体" w:cs="Times New Roman"/>
          <w:sz w:val="24"/>
        </w:rPr>
        <w:t>姓名：</w:t>
      </w:r>
      <w:r>
        <w:rPr>
          <w:rFonts w:hint="eastAsia" w:ascii="宋体" w:hAnsi="宋体" w:eastAsia="宋体" w:cs="Times New Roman"/>
          <w:b/>
          <w:sz w:val="24"/>
          <w:u w:val="single"/>
        </w:rPr>
        <w:t>******</w:t>
      </w:r>
      <w:r>
        <w:rPr>
          <w:rFonts w:ascii="宋体" w:hAnsi="宋体" w:eastAsia="宋体" w:cs="Times New Roman"/>
          <w:b/>
          <w:sz w:val="24"/>
          <w:u w:val="single"/>
        </w:rPr>
        <w:t xml:space="preserve"> </w:t>
      </w:r>
      <w:r>
        <w:rPr>
          <w:rFonts w:ascii="宋体" w:hAnsi="宋体" w:eastAsia="宋体" w:cs="Times New Roman"/>
          <w:b/>
          <w:sz w:val="24"/>
        </w:rPr>
        <w:t xml:space="preserve">   </w:t>
      </w:r>
      <w:r>
        <w:rPr>
          <w:rFonts w:hint="eastAsia" w:ascii="Calibri" w:hAnsi="Calibri" w:eastAsia="宋体" w:cs="Times New Roman"/>
          <w:sz w:val="24"/>
        </w:rPr>
        <w:t>职称：</w:t>
      </w:r>
      <w:r>
        <w:rPr>
          <w:rFonts w:hint="eastAsia" w:ascii="宋体" w:hAnsi="宋体" w:eastAsia="宋体" w:cs="Times New Roman"/>
          <w:b/>
          <w:sz w:val="24"/>
          <w:u w:val="single"/>
        </w:rPr>
        <w:t>*******</w:t>
      </w:r>
      <w:r>
        <w:rPr>
          <w:rFonts w:hint="eastAsia" w:ascii="Calibri" w:hAnsi="Calibri" w:eastAsia="宋体" w:cs="Times New Roman"/>
          <w:sz w:val="24"/>
        </w:rPr>
        <w:t>；</w:t>
      </w:r>
    </w:p>
    <w:p w14:paraId="331A473D">
      <w:pPr>
        <w:spacing w:line="500" w:lineRule="exact"/>
        <w:ind w:firstLine="600" w:firstLineChars="250"/>
        <w:rPr>
          <w:rFonts w:ascii="Calibri" w:hAnsi="Calibri" w:eastAsia="宋体" w:cs="Times New Roman"/>
          <w:sz w:val="24"/>
        </w:rPr>
      </w:pPr>
      <w:r>
        <w:rPr>
          <w:rFonts w:hint="eastAsia" w:ascii="Calibri" w:hAnsi="Calibri" w:eastAsia="宋体" w:cs="Times New Roman"/>
          <w:sz w:val="24"/>
        </w:rPr>
        <w:t>身份证号：</w:t>
      </w:r>
      <w:r>
        <w:rPr>
          <w:rFonts w:hint="eastAsia" w:ascii="宋体" w:hAnsi="宋体" w:eastAsia="宋体" w:cs="Times New Roman"/>
          <w:b/>
          <w:sz w:val="24"/>
          <w:u w:val="single"/>
        </w:rPr>
        <w:t>*******</w:t>
      </w:r>
      <w:r>
        <w:rPr>
          <w:rFonts w:hint="eastAsia" w:ascii="Calibri" w:hAnsi="Calibri" w:eastAsia="宋体" w:cs="Times New Roman"/>
          <w:sz w:val="24"/>
        </w:rPr>
        <w:t>；建造师执业资格证书号：</w:t>
      </w:r>
      <w:r>
        <w:rPr>
          <w:rFonts w:hint="eastAsia" w:ascii="Calibri" w:hAnsi="Calibri" w:eastAsia="宋体" w:cs="Times New Roman"/>
          <w:sz w:val="24"/>
          <w:u w:val="single"/>
        </w:rPr>
        <w:t>********</w:t>
      </w:r>
      <w:r>
        <w:rPr>
          <w:rFonts w:hint="eastAsia" w:ascii="Calibri" w:hAnsi="Calibri" w:eastAsia="宋体" w:cs="Times New Roman"/>
          <w:sz w:val="24"/>
        </w:rPr>
        <w:t>；</w:t>
      </w:r>
    </w:p>
    <w:p w14:paraId="079C98FF">
      <w:pPr>
        <w:spacing w:line="500" w:lineRule="exact"/>
        <w:rPr>
          <w:rFonts w:ascii="Calibri" w:hAnsi="Calibri" w:eastAsia="宋体" w:cs="Times New Roman"/>
          <w:sz w:val="24"/>
        </w:rPr>
      </w:pPr>
      <w:r>
        <w:rPr>
          <w:rFonts w:hint="eastAsia" w:ascii="Calibri" w:hAnsi="Calibri" w:eastAsia="宋体" w:cs="Times New Roman"/>
          <w:sz w:val="24"/>
        </w:rPr>
        <w:t>　　 建造师注册证书号：</w:t>
      </w:r>
      <w:r>
        <w:rPr>
          <w:rFonts w:hint="eastAsia" w:ascii="宋体" w:hAnsi="宋体" w:eastAsia="宋体" w:cs="Times New Roman"/>
          <w:b/>
          <w:sz w:val="24"/>
          <w:u w:val="single"/>
        </w:rPr>
        <w:t>********</w:t>
      </w:r>
      <w:r>
        <w:rPr>
          <w:rFonts w:hint="eastAsia" w:ascii="Calibri" w:hAnsi="Calibri" w:eastAsia="宋体" w:cs="Times New Roman"/>
          <w:sz w:val="24"/>
        </w:rPr>
        <w:t>。</w:t>
      </w:r>
    </w:p>
    <w:p w14:paraId="6BA305DA">
      <w:pPr>
        <w:spacing w:line="500" w:lineRule="exact"/>
        <w:rPr>
          <w:rFonts w:ascii="Calibri" w:hAnsi="Calibri" w:eastAsia="宋体" w:cs="Times New Roman"/>
          <w:sz w:val="24"/>
        </w:rPr>
      </w:pPr>
      <w:r>
        <w:rPr>
          <w:rFonts w:hint="eastAsia" w:ascii="Calibri" w:hAnsi="Calibri" w:eastAsia="宋体" w:cs="Times New Roman"/>
          <w:sz w:val="24"/>
        </w:rPr>
        <w:t>　 　建造师执业印章号：</w:t>
      </w:r>
      <w:r>
        <w:rPr>
          <w:rFonts w:hint="eastAsia" w:ascii="宋体" w:hAnsi="宋体" w:eastAsia="宋体" w:cs="Times New Roman"/>
          <w:b/>
          <w:sz w:val="24"/>
          <w:u w:val="single"/>
        </w:rPr>
        <w:t>*******</w:t>
      </w:r>
      <w:r>
        <w:rPr>
          <w:rFonts w:hint="eastAsia" w:ascii="Calibri" w:hAnsi="Calibri" w:eastAsia="宋体" w:cs="Times New Roman"/>
          <w:sz w:val="24"/>
        </w:rPr>
        <w:t>。</w:t>
      </w:r>
    </w:p>
    <w:p w14:paraId="48FA68C1">
      <w:pPr>
        <w:spacing w:line="500" w:lineRule="exact"/>
        <w:rPr>
          <w:rFonts w:ascii="Calibri" w:hAnsi="Calibri" w:eastAsia="宋体" w:cs="Times New Roman"/>
          <w:sz w:val="24"/>
        </w:rPr>
      </w:pPr>
      <w:r>
        <w:rPr>
          <w:rFonts w:hint="eastAsia" w:ascii="Calibri" w:hAnsi="Calibri" w:eastAsia="宋体" w:cs="Times New Roman"/>
          <w:sz w:val="24"/>
        </w:rPr>
        <w:t>　　 安全生产考核合格证书号：</w:t>
      </w:r>
      <w:r>
        <w:rPr>
          <w:rFonts w:hint="eastAsia" w:ascii="宋体" w:hAnsi="宋体" w:eastAsia="宋体" w:cs="Times New Roman"/>
          <w:b/>
          <w:sz w:val="24"/>
          <w:u w:val="single"/>
        </w:rPr>
        <w:t>********</w:t>
      </w:r>
      <w:r>
        <w:rPr>
          <w:rFonts w:hint="eastAsia" w:ascii="Calibri" w:hAnsi="Calibri" w:eastAsia="宋体" w:cs="Times New Roman"/>
          <w:sz w:val="24"/>
        </w:rPr>
        <w:t>。</w:t>
      </w:r>
    </w:p>
    <w:p w14:paraId="6A70CF7A">
      <w:pPr>
        <w:spacing w:line="500" w:lineRule="exact"/>
        <w:rPr>
          <w:rFonts w:ascii="Calibri" w:hAnsi="Calibri" w:eastAsia="宋体" w:cs="Times New Roman"/>
          <w:b/>
          <w:bCs/>
          <w:sz w:val="24"/>
        </w:rPr>
      </w:pPr>
      <w:r>
        <w:rPr>
          <w:rFonts w:hint="eastAsia" w:ascii="Calibri" w:hAnsi="Calibri" w:eastAsia="宋体" w:cs="Times New Roman"/>
          <w:sz w:val="24"/>
        </w:rPr>
        <w:t>　　</w:t>
      </w:r>
      <w:r>
        <w:rPr>
          <w:rFonts w:hint="eastAsia" w:ascii="Calibri" w:hAnsi="Calibri" w:eastAsia="宋体" w:cs="Times New Roman"/>
          <w:b/>
          <w:bCs/>
          <w:sz w:val="24"/>
        </w:rPr>
        <w:t>第六条 合同文件的组成</w:t>
      </w:r>
    </w:p>
    <w:p w14:paraId="608230A6">
      <w:pPr>
        <w:spacing w:line="500" w:lineRule="exact"/>
        <w:rPr>
          <w:rFonts w:ascii="Calibri" w:hAnsi="Calibri" w:eastAsia="宋体" w:cs="Times New Roman"/>
          <w:sz w:val="24"/>
        </w:rPr>
      </w:pPr>
      <w:r>
        <w:rPr>
          <w:rFonts w:hint="eastAsia" w:ascii="Calibri" w:hAnsi="Calibri" w:eastAsia="宋体" w:cs="Times New Roman"/>
          <w:sz w:val="24"/>
        </w:rPr>
        <w:t>　　本协议与下列文件一起共同构成合同文件：</w:t>
      </w:r>
    </w:p>
    <w:p w14:paraId="5466ADF3">
      <w:pPr>
        <w:numPr>
          <w:ilvl w:val="0"/>
          <w:numId w:val="1"/>
        </w:numPr>
        <w:spacing w:line="500" w:lineRule="exact"/>
        <w:rPr>
          <w:rFonts w:ascii="Calibri" w:hAnsi="Calibri" w:eastAsia="宋体" w:cs="Times New Roman"/>
          <w:sz w:val="24"/>
        </w:rPr>
      </w:pPr>
      <w:r>
        <w:rPr>
          <w:rFonts w:hint="eastAsia" w:ascii="Calibri" w:hAnsi="Calibri" w:eastAsia="宋体" w:cs="Times New Roman"/>
          <w:sz w:val="24"/>
        </w:rPr>
        <w:t>中标通知书（如果有）；</w:t>
      </w:r>
    </w:p>
    <w:p w14:paraId="2529EA70">
      <w:pPr>
        <w:numPr>
          <w:ilvl w:val="0"/>
          <w:numId w:val="1"/>
        </w:numPr>
        <w:spacing w:line="500" w:lineRule="exact"/>
        <w:rPr>
          <w:rFonts w:ascii="Calibri" w:hAnsi="Calibri" w:eastAsia="宋体" w:cs="Times New Roman"/>
          <w:sz w:val="24"/>
        </w:rPr>
      </w:pPr>
      <w:r>
        <w:rPr>
          <w:rFonts w:hint="eastAsia" w:ascii="Calibri" w:hAnsi="Calibri" w:eastAsia="宋体" w:cs="Times New Roman"/>
          <w:sz w:val="24"/>
        </w:rPr>
        <w:t>投标函及其附录（如果有）；</w:t>
      </w:r>
    </w:p>
    <w:p w14:paraId="3A962E99">
      <w:pPr>
        <w:numPr>
          <w:ilvl w:val="0"/>
          <w:numId w:val="1"/>
        </w:numPr>
        <w:spacing w:line="500" w:lineRule="exact"/>
        <w:rPr>
          <w:rFonts w:ascii="Calibri" w:hAnsi="Calibri" w:eastAsia="宋体" w:cs="Times New Roman"/>
          <w:sz w:val="24"/>
        </w:rPr>
      </w:pPr>
      <w:r>
        <w:rPr>
          <w:rFonts w:hint="eastAsia" w:ascii="Calibri" w:hAnsi="Calibri" w:eastAsia="宋体" w:cs="Times New Roman"/>
          <w:sz w:val="24"/>
        </w:rPr>
        <w:t>专用合同条款及其附件；</w:t>
      </w:r>
    </w:p>
    <w:p w14:paraId="26E3632F">
      <w:pPr>
        <w:numPr>
          <w:ilvl w:val="0"/>
          <w:numId w:val="1"/>
        </w:numPr>
        <w:spacing w:line="500" w:lineRule="exact"/>
        <w:rPr>
          <w:rFonts w:ascii="Calibri" w:hAnsi="Calibri" w:eastAsia="宋体" w:cs="Times New Roman"/>
          <w:sz w:val="24"/>
        </w:rPr>
      </w:pPr>
      <w:r>
        <w:rPr>
          <w:rFonts w:hint="eastAsia" w:ascii="Calibri" w:hAnsi="Calibri" w:eastAsia="宋体" w:cs="Times New Roman"/>
          <w:sz w:val="24"/>
        </w:rPr>
        <w:t>通用合同条款；</w:t>
      </w:r>
    </w:p>
    <w:p w14:paraId="30466DD4">
      <w:pPr>
        <w:numPr>
          <w:ilvl w:val="0"/>
          <w:numId w:val="1"/>
        </w:numPr>
        <w:spacing w:line="500" w:lineRule="exact"/>
        <w:rPr>
          <w:rFonts w:ascii="Calibri" w:hAnsi="Calibri" w:eastAsia="宋体" w:cs="Times New Roman"/>
          <w:sz w:val="24"/>
        </w:rPr>
      </w:pPr>
      <w:r>
        <w:rPr>
          <w:rFonts w:hint="eastAsia" w:ascii="Calibri" w:hAnsi="Calibri" w:eastAsia="宋体" w:cs="Times New Roman"/>
          <w:sz w:val="24"/>
        </w:rPr>
        <w:t>技术标准和要求；</w:t>
      </w:r>
    </w:p>
    <w:p w14:paraId="51621C7D">
      <w:pPr>
        <w:numPr>
          <w:ilvl w:val="0"/>
          <w:numId w:val="1"/>
        </w:numPr>
        <w:spacing w:line="500" w:lineRule="exact"/>
        <w:rPr>
          <w:rFonts w:ascii="Calibri" w:hAnsi="Calibri" w:eastAsia="宋体" w:cs="Times New Roman"/>
          <w:sz w:val="24"/>
        </w:rPr>
      </w:pPr>
      <w:r>
        <w:rPr>
          <w:rFonts w:hint="eastAsia" w:ascii="Calibri" w:hAnsi="Calibri" w:eastAsia="宋体" w:cs="Times New Roman"/>
          <w:sz w:val="24"/>
        </w:rPr>
        <w:t>图纸；</w:t>
      </w:r>
    </w:p>
    <w:p w14:paraId="1577559A">
      <w:pPr>
        <w:numPr>
          <w:ilvl w:val="0"/>
          <w:numId w:val="1"/>
        </w:numPr>
        <w:spacing w:line="500" w:lineRule="exact"/>
        <w:rPr>
          <w:rFonts w:ascii="Calibri" w:hAnsi="Calibri" w:eastAsia="宋体" w:cs="Times New Roman"/>
          <w:sz w:val="24"/>
        </w:rPr>
      </w:pPr>
      <w:r>
        <w:rPr>
          <w:rFonts w:hint="eastAsia" w:ascii="Calibri" w:hAnsi="Calibri" w:eastAsia="宋体" w:cs="Times New Roman"/>
          <w:sz w:val="24"/>
        </w:rPr>
        <w:t>已标价工程量清单；</w:t>
      </w:r>
    </w:p>
    <w:p w14:paraId="18A236B1">
      <w:pPr>
        <w:numPr>
          <w:ilvl w:val="0"/>
          <w:numId w:val="1"/>
        </w:numPr>
        <w:spacing w:line="500" w:lineRule="exact"/>
        <w:rPr>
          <w:rFonts w:ascii="Calibri" w:hAnsi="Calibri" w:eastAsia="宋体" w:cs="Times New Roman"/>
          <w:sz w:val="24"/>
        </w:rPr>
      </w:pPr>
      <w:r>
        <w:rPr>
          <w:rFonts w:hint="eastAsia" w:ascii="Calibri" w:hAnsi="Calibri" w:eastAsia="宋体" w:cs="Times New Roman"/>
          <w:sz w:val="24"/>
        </w:rPr>
        <w:t>其他合同文件。</w:t>
      </w:r>
    </w:p>
    <w:p w14:paraId="0CCC3698">
      <w:pPr>
        <w:spacing w:line="500" w:lineRule="exact"/>
        <w:ind w:firstLine="480"/>
        <w:rPr>
          <w:rFonts w:ascii="Calibri" w:hAnsi="Calibri" w:eastAsia="宋体" w:cs="Times New Roman"/>
          <w:b/>
          <w:bCs/>
          <w:sz w:val="24"/>
        </w:rPr>
      </w:pPr>
      <w:r>
        <w:rPr>
          <w:rFonts w:hint="eastAsia" w:ascii="Calibri" w:hAnsi="Calibri" w:eastAsia="宋体" w:cs="Times New Roman"/>
          <w:b/>
          <w:bCs/>
          <w:sz w:val="24"/>
        </w:rPr>
        <w:t>第七条 合同生效</w:t>
      </w:r>
    </w:p>
    <w:p w14:paraId="44F5ED2D">
      <w:pPr>
        <w:autoSpaceDE w:val="0"/>
        <w:autoSpaceDN w:val="0"/>
        <w:adjustRightInd w:val="0"/>
        <w:spacing w:before="100" w:after="100" w:line="500" w:lineRule="exact"/>
        <w:ind w:left="-359" w:leftChars="-171" w:right="-334" w:rightChars="-159" w:firstLine="720" w:firstLineChars="300"/>
        <w:jc w:val="left"/>
        <w:rPr>
          <w:rFonts w:ascii="宋体" w:hAnsi="宋体" w:eastAsia="宋体" w:cs="宋体"/>
          <w:kern w:val="0"/>
          <w:sz w:val="24"/>
          <w:szCs w:val="24"/>
        </w:rPr>
      </w:pPr>
      <w:r>
        <w:rPr>
          <w:rFonts w:hint="eastAsia" w:ascii="宋体" w:hAnsi="宋体" w:eastAsia="宋体" w:cs="宋体"/>
          <w:kern w:val="0"/>
          <w:sz w:val="24"/>
          <w:szCs w:val="24"/>
        </w:rPr>
        <w:t xml:space="preserve">  合同订立时间：</w:t>
      </w:r>
      <w:r>
        <w:rPr>
          <w:rFonts w:hint="eastAsia" w:ascii="宋体" w:hAnsi="宋体" w:eastAsia="宋体" w:cs="宋体"/>
          <w:kern w:val="0"/>
          <w:sz w:val="24"/>
          <w:szCs w:val="24"/>
          <w:u w:val="single"/>
        </w:rPr>
        <w:t xml:space="preserve">  </w:t>
      </w:r>
      <w:r>
        <w:rPr>
          <w:rFonts w:hint="eastAsia" w:ascii="宋体" w:hAnsi="宋体" w:eastAsia="宋体" w:cs="宋体"/>
          <w:kern w:val="0"/>
          <w:sz w:val="24"/>
          <w:szCs w:val="24"/>
        </w:rPr>
        <w:t>年</w:t>
      </w:r>
      <w:r>
        <w:rPr>
          <w:rFonts w:hint="eastAsia" w:ascii="宋体" w:hAnsi="宋体" w:eastAsia="宋体" w:cs="宋体"/>
          <w:kern w:val="0"/>
          <w:sz w:val="24"/>
          <w:szCs w:val="24"/>
          <w:u w:val="single"/>
        </w:rPr>
        <w:t xml:space="preserve">  </w:t>
      </w:r>
      <w:r>
        <w:rPr>
          <w:rFonts w:hint="eastAsia" w:ascii="宋体" w:hAnsi="宋体" w:eastAsia="宋体" w:cs="宋体"/>
          <w:kern w:val="0"/>
          <w:sz w:val="24"/>
          <w:szCs w:val="24"/>
        </w:rPr>
        <w:t>月</w:t>
      </w:r>
      <w:r>
        <w:rPr>
          <w:rFonts w:hint="eastAsia" w:ascii="宋体" w:hAnsi="宋体" w:eastAsia="宋体" w:cs="宋体"/>
          <w:kern w:val="0"/>
          <w:sz w:val="24"/>
          <w:szCs w:val="24"/>
          <w:u w:val="single"/>
        </w:rPr>
        <w:t xml:space="preserve"> </w:t>
      </w:r>
      <w:r>
        <w:rPr>
          <w:rFonts w:ascii="宋体" w:hAnsi="宋体" w:eastAsia="宋体" w:cs="宋体"/>
          <w:kern w:val="0"/>
          <w:sz w:val="24"/>
          <w:szCs w:val="24"/>
          <w:u w:val="single"/>
        </w:rPr>
        <w:t xml:space="preserve"> </w:t>
      </w:r>
      <w:r>
        <w:rPr>
          <w:rFonts w:hint="eastAsia" w:ascii="宋体" w:hAnsi="宋体" w:eastAsia="宋体" w:cs="宋体"/>
          <w:kern w:val="0"/>
          <w:sz w:val="24"/>
          <w:szCs w:val="24"/>
        </w:rPr>
        <w:t>日。</w:t>
      </w:r>
    </w:p>
    <w:p w14:paraId="55DA3E85">
      <w:pPr>
        <w:autoSpaceDE w:val="0"/>
        <w:autoSpaceDN w:val="0"/>
        <w:adjustRightInd w:val="0"/>
        <w:spacing w:before="100" w:after="100" w:line="500" w:lineRule="exact"/>
        <w:ind w:left="360" w:right="-334" w:rightChars="-159" w:firstLine="240" w:firstLineChars="100"/>
        <w:jc w:val="left"/>
        <w:rPr>
          <w:rFonts w:ascii="宋体" w:hAnsi="宋体" w:eastAsia="宋体" w:cs="Times New Roman"/>
          <w:b/>
          <w:bCs/>
          <w:kern w:val="0"/>
          <w:sz w:val="24"/>
          <w:szCs w:val="20"/>
          <w:u w:val="single"/>
        </w:rPr>
      </w:pPr>
      <w:r>
        <w:rPr>
          <w:rFonts w:hint="eastAsia" w:ascii="宋体" w:hAnsi="宋体" w:eastAsia="宋体" w:cs="宋体"/>
          <w:kern w:val="0"/>
          <w:sz w:val="24"/>
          <w:szCs w:val="24"/>
        </w:rPr>
        <w:t>合同订立地点：</w:t>
      </w:r>
      <w:r>
        <w:rPr>
          <w:rFonts w:hint="eastAsia" w:ascii="宋体" w:hAnsi="宋体" w:eastAsia="宋体" w:cs="宋体"/>
          <w:kern w:val="0"/>
          <w:sz w:val="24"/>
          <w:szCs w:val="24"/>
          <w:u w:val="single"/>
        </w:rPr>
        <w:t xml:space="preserve">  九龙坡区西彭镇 。</w:t>
      </w:r>
    </w:p>
    <w:p w14:paraId="20BE79E2">
      <w:pPr>
        <w:spacing w:line="500" w:lineRule="exact"/>
        <w:ind w:firstLine="600" w:firstLineChars="250"/>
        <w:rPr>
          <w:rFonts w:ascii="Calibri" w:hAnsi="Calibri" w:eastAsia="宋体" w:cs="Times New Roman"/>
          <w:sz w:val="24"/>
        </w:rPr>
      </w:pPr>
      <w:r>
        <w:rPr>
          <w:rFonts w:hint="eastAsia" w:ascii="Calibri" w:hAnsi="Calibri" w:eastAsia="宋体" w:cs="Times New Roman"/>
          <w:sz w:val="24"/>
        </w:rPr>
        <w:t>合同生效条件：</w:t>
      </w:r>
      <w:r>
        <w:rPr>
          <w:rFonts w:hint="eastAsia" w:ascii="Calibri" w:hAnsi="Calibri" w:eastAsia="宋体" w:cs="Times New Roman"/>
          <w:sz w:val="24"/>
          <w:u w:val="single"/>
        </w:rPr>
        <w:t>双方签字盖章后有效。</w:t>
      </w:r>
    </w:p>
    <w:p w14:paraId="70549AF3">
      <w:pPr>
        <w:spacing w:line="500" w:lineRule="exact"/>
        <w:rPr>
          <w:rFonts w:ascii="Calibri" w:hAnsi="Calibri" w:eastAsia="宋体" w:cs="Times New Roman"/>
          <w:sz w:val="24"/>
        </w:rPr>
      </w:pPr>
      <w:r>
        <w:rPr>
          <w:rFonts w:hint="eastAsia" w:ascii="Calibri" w:hAnsi="Calibri" w:eastAsia="宋体" w:cs="Times New Roman"/>
          <w:sz w:val="24"/>
        </w:rPr>
        <w:t>　　</w:t>
      </w:r>
      <w:r>
        <w:rPr>
          <w:rFonts w:hint="eastAsia" w:ascii="Calibri" w:hAnsi="Calibri" w:eastAsia="宋体" w:cs="Times New Roman"/>
          <w:b/>
          <w:bCs/>
          <w:sz w:val="24"/>
        </w:rPr>
        <w:t xml:space="preserve">第八条 </w:t>
      </w:r>
      <w:r>
        <w:rPr>
          <w:rFonts w:hint="eastAsia" w:ascii="Calibri" w:hAnsi="Calibri" w:eastAsia="宋体" w:cs="Times New Roman"/>
          <w:sz w:val="24"/>
        </w:rPr>
        <w:t>承包人承诺按照合同约定进行施工、竣工、交付并在缺陷责任期内对工程缺陷承担维修责任。</w:t>
      </w:r>
    </w:p>
    <w:p w14:paraId="6BADC816">
      <w:pPr>
        <w:spacing w:line="500" w:lineRule="exact"/>
        <w:rPr>
          <w:rFonts w:ascii="Calibri" w:hAnsi="Calibri" w:eastAsia="宋体" w:cs="Times New Roman"/>
          <w:sz w:val="24"/>
        </w:rPr>
      </w:pPr>
      <w:r>
        <w:rPr>
          <w:rFonts w:hint="eastAsia" w:ascii="Calibri" w:hAnsi="Calibri" w:eastAsia="宋体" w:cs="Times New Roman"/>
          <w:sz w:val="24"/>
        </w:rPr>
        <w:t>　　</w:t>
      </w:r>
      <w:r>
        <w:rPr>
          <w:rFonts w:hint="eastAsia" w:ascii="Calibri" w:hAnsi="Calibri" w:eastAsia="宋体" w:cs="Times New Roman"/>
          <w:b/>
          <w:bCs/>
          <w:sz w:val="24"/>
        </w:rPr>
        <w:t xml:space="preserve">第九条 </w:t>
      </w:r>
      <w:r>
        <w:rPr>
          <w:rFonts w:hint="eastAsia" w:ascii="Calibri" w:hAnsi="Calibri" w:eastAsia="宋体" w:cs="Times New Roman"/>
          <w:sz w:val="24"/>
        </w:rPr>
        <w:t>发包人承诺按照合同约定的条件、期限和方式向承包人支付合同价款。</w:t>
      </w:r>
    </w:p>
    <w:p w14:paraId="6225B0AD">
      <w:pPr>
        <w:spacing w:line="500" w:lineRule="exact"/>
        <w:ind w:firstLine="482" w:firstLineChars="200"/>
        <w:rPr>
          <w:rFonts w:ascii="Calibri" w:hAnsi="Calibri" w:eastAsia="宋体" w:cs="Times New Roman"/>
          <w:sz w:val="24"/>
        </w:rPr>
      </w:pPr>
      <w:r>
        <w:rPr>
          <w:rFonts w:hint="eastAsia" w:ascii="Calibri" w:hAnsi="Calibri" w:eastAsia="宋体" w:cs="Times New Roman"/>
          <w:b/>
          <w:bCs/>
          <w:sz w:val="24"/>
        </w:rPr>
        <w:t xml:space="preserve">第十条 </w:t>
      </w:r>
      <w:r>
        <w:rPr>
          <w:rFonts w:ascii="Calibri" w:hAnsi="Calibri" w:eastAsia="宋体" w:cs="Times New Roman"/>
          <w:sz w:val="24"/>
        </w:rPr>
        <w:t xml:space="preserve"> </w:t>
      </w:r>
      <w:r>
        <w:rPr>
          <w:rFonts w:hint="eastAsia" w:ascii="Calibri" w:hAnsi="Calibri" w:eastAsia="宋体" w:cs="Times New Roman"/>
          <w:sz w:val="24"/>
        </w:rPr>
        <w:t>本协议书一式</w:t>
      </w:r>
      <w:r>
        <w:rPr>
          <w:rFonts w:hint="eastAsia" w:ascii="Calibri" w:hAnsi="Calibri" w:eastAsia="宋体" w:cs="Times New Roman"/>
          <w:sz w:val="24"/>
          <w:u w:val="single"/>
        </w:rPr>
        <w:t xml:space="preserve"> </w:t>
      </w:r>
      <w:r>
        <w:rPr>
          <w:rFonts w:hint="eastAsia" w:ascii="Calibri" w:hAnsi="Calibri" w:eastAsia="宋体" w:cs="Times New Roman"/>
          <w:b/>
          <w:bCs/>
          <w:sz w:val="24"/>
          <w:u w:val="single"/>
        </w:rPr>
        <w:t xml:space="preserve">捌 </w:t>
      </w:r>
      <w:r>
        <w:rPr>
          <w:rFonts w:hint="eastAsia" w:ascii="Calibri" w:hAnsi="Calibri" w:eastAsia="宋体" w:cs="Times New Roman"/>
          <w:sz w:val="24"/>
        </w:rPr>
        <w:t>份，发包人执</w:t>
      </w:r>
      <w:r>
        <w:rPr>
          <w:rFonts w:hint="eastAsia" w:ascii="Calibri" w:hAnsi="Calibri" w:eastAsia="宋体" w:cs="Times New Roman"/>
          <w:b/>
          <w:bCs/>
          <w:sz w:val="24"/>
          <w:u w:val="single"/>
        </w:rPr>
        <w:t>陆</w:t>
      </w:r>
      <w:r>
        <w:rPr>
          <w:rFonts w:hint="eastAsia" w:ascii="Calibri" w:hAnsi="Calibri" w:eastAsia="宋体" w:cs="Times New Roman"/>
          <w:sz w:val="24"/>
        </w:rPr>
        <w:t>份，承包人执</w:t>
      </w:r>
      <w:r>
        <w:rPr>
          <w:rFonts w:hint="eastAsia" w:ascii="Calibri" w:hAnsi="Calibri" w:eastAsia="宋体" w:cs="Times New Roman"/>
          <w:b/>
          <w:bCs/>
          <w:sz w:val="24"/>
          <w:u w:val="single"/>
        </w:rPr>
        <w:t>贰</w:t>
      </w:r>
      <w:r>
        <w:rPr>
          <w:rFonts w:hint="eastAsia" w:ascii="Calibri" w:hAnsi="Calibri" w:eastAsia="宋体" w:cs="Times New Roman"/>
          <w:sz w:val="24"/>
        </w:rPr>
        <w:t>份。</w:t>
      </w:r>
    </w:p>
    <w:p w14:paraId="66216B87">
      <w:pPr>
        <w:spacing w:line="500" w:lineRule="exact"/>
        <w:ind w:firstLine="482"/>
        <w:rPr>
          <w:rFonts w:ascii="Calibri" w:hAnsi="Calibri" w:eastAsia="宋体" w:cs="Times New Roman"/>
          <w:sz w:val="24"/>
        </w:rPr>
      </w:pPr>
      <w:r>
        <w:rPr>
          <w:rFonts w:hint="eastAsia" w:ascii="Calibri" w:hAnsi="Calibri" w:eastAsia="宋体" w:cs="Times New Roman"/>
          <w:b/>
          <w:bCs/>
          <w:sz w:val="24"/>
        </w:rPr>
        <w:t xml:space="preserve">第十一条 </w:t>
      </w:r>
      <w:r>
        <w:rPr>
          <w:rFonts w:hint="eastAsia" w:ascii="Calibri" w:hAnsi="Calibri" w:eastAsia="宋体" w:cs="Times New Roman"/>
          <w:sz w:val="24"/>
        </w:rPr>
        <w:t>合同未尽事宜，双方另行签订补充协议，但不得背离本协议第六条所约定的合同文件的实质性内容。补充协议是合同文件的组成部分,与本合同具有同等法律效力。</w:t>
      </w:r>
    </w:p>
    <w:p w14:paraId="66F5903C">
      <w:pPr>
        <w:spacing w:line="500" w:lineRule="exact"/>
        <w:ind w:firstLine="482"/>
        <w:rPr>
          <w:rFonts w:ascii="Calibri" w:hAnsi="Calibri" w:eastAsia="宋体" w:cs="Times New Roman"/>
          <w:sz w:val="24"/>
        </w:rPr>
      </w:pPr>
      <w:r>
        <w:rPr>
          <w:rFonts w:hint="eastAsia" w:ascii="Calibri" w:hAnsi="Calibri" w:eastAsia="宋体" w:cs="Times New Roman"/>
          <w:sz w:val="24"/>
        </w:rPr>
        <w:t>（以下无正文）</w:t>
      </w:r>
    </w:p>
    <w:p w14:paraId="0510151B">
      <w:pPr>
        <w:pStyle w:val="13"/>
        <w:ind w:firstLine="240"/>
        <w:rPr>
          <w:rFonts w:ascii="Calibri" w:hAnsi="Calibri" w:eastAsia="宋体" w:cs="Times New Roman"/>
        </w:rPr>
      </w:pPr>
    </w:p>
    <w:p w14:paraId="37A39351">
      <w:pPr>
        <w:pStyle w:val="13"/>
        <w:ind w:firstLine="240"/>
        <w:rPr>
          <w:rFonts w:ascii="Calibri" w:hAnsi="Calibri" w:eastAsia="宋体" w:cs="Times New Roman"/>
        </w:rPr>
      </w:pPr>
    </w:p>
    <w:p w14:paraId="75FDFC0F">
      <w:pPr>
        <w:pStyle w:val="13"/>
        <w:ind w:firstLine="240"/>
        <w:rPr>
          <w:rFonts w:ascii="Calibri" w:hAnsi="Calibri" w:eastAsia="宋体" w:cs="Times New Roman"/>
        </w:rPr>
      </w:pPr>
    </w:p>
    <w:p w14:paraId="3727A8AA">
      <w:pPr>
        <w:pStyle w:val="13"/>
        <w:ind w:firstLine="240"/>
        <w:rPr>
          <w:rFonts w:ascii="Calibri" w:hAnsi="Calibri" w:eastAsia="宋体" w:cs="Times New Roman"/>
        </w:rPr>
      </w:pPr>
    </w:p>
    <w:p w14:paraId="1F49B365">
      <w:pPr>
        <w:pStyle w:val="13"/>
        <w:ind w:firstLine="240"/>
        <w:rPr>
          <w:rFonts w:ascii="Calibri" w:hAnsi="Calibri" w:eastAsia="宋体" w:cs="Times New Roman"/>
        </w:rPr>
      </w:pPr>
    </w:p>
    <w:p w14:paraId="207C501D">
      <w:pPr>
        <w:pStyle w:val="13"/>
        <w:ind w:firstLine="240"/>
        <w:rPr>
          <w:rFonts w:ascii="Calibri" w:hAnsi="Calibri" w:eastAsia="宋体" w:cs="Times New Roman"/>
        </w:rPr>
      </w:pPr>
    </w:p>
    <w:p w14:paraId="5F9955F5">
      <w:pPr>
        <w:pStyle w:val="13"/>
        <w:ind w:firstLine="240"/>
        <w:rPr>
          <w:rFonts w:ascii="Calibri" w:hAnsi="Calibri" w:eastAsia="宋体" w:cs="Times New Roman"/>
        </w:rPr>
      </w:pPr>
    </w:p>
    <w:p w14:paraId="0F1D31CB">
      <w:pPr>
        <w:pStyle w:val="13"/>
        <w:ind w:firstLine="240"/>
        <w:rPr>
          <w:rFonts w:ascii="Calibri" w:hAnsi="Calibri" w:eastAsia="宋体" w:cs="Times New Roman"/>
        </w:rPr>
      </w:pPr>
    </w:p>
    <w:p w14:paraId="6DEE0478">
      <w:pPr>
        <w:pStyle w:val="13"/>
        <w:ind w:firstLine="240"/>
        <w:rPr>
          <w:rFonts w:ascii="Calibri" w:hAnsi="Calibri" w:eastAsia="宋体" w:cs="Times New Roman"/>
        </w:rPr>
      </w:pPr>
    </w:p>
    <w:p w14:paraId="5CE5B238">
      <w:pPr>
        <w:pStyle w:val="13"/>
        <w:ind w:firstLine="240"/>
        <w:rPr>
          <w:rFonts w:ascii="Calibri" w:hAnsi="Calibri" w:eastAsia="宋体" w:cs="Times New Roman"/>
        </w:rPr>
      </w:pPr>
    </w:p>
    <w:p w14:paraId="763BB632">
      <w:pPr>
        <w:pStyle w:val="13"/>
        <w:ind w:firstLine="240"/>
        <w:rPr>
          <w:rFonts w:ascii="Calibri" w:hAnsi="Calibri" w:eastAsia="宋体" w:cs="Times New Roman"/>
        </w:rPr>
      </w:pPr>
    </w:p>
    <w:p w14:paraId="1BEFC675">
      <w:pPr>
        <w:pStyle w:val="13"/>
        <w:ind w:firstLine="240"/>
        <w:rPr>
          <w:rFonts w:ascii="Calibri" w:hAnsi="Calibri" w:eastAsia="宋体" w:cs="Times New Roman"/>
        </w:rPr>
      </w:pPr>
    </w:p>
    <w:p w14:paraId="45DE3439">
      <w:pPr>
        <w:pStyle w:val="13"/>
        <w:ind w:firstLine="240"/>
        <w:rPr>
          <w:rFonts w:ascii="Calibri" w:hAnsi="Calibri" w:eastAsia="宋体" w:cs="Times New Roman"/>
        </w:rPr>
      </w:pPr>
    </w:p>
    <w:p w14:paraId="27AC10B1">
      <w:pPr>
        <w:pStyle w:val="13"/>
        <w:ind w:firstLine="240"/>
        <w:rPr>
          <w:rFonts w:ascii="Calibri" w:hAnsi="Calibri" w:eastAsia="宋体" w:cs="Times New Roman"/>
        </w:rPr>
      </w:pPr>
    </w:p>
    <w:p w14:paraId="28E2CDA9">
      <w:pPr>
        <w:autoSpaceDE w:val="0"/>
        <w:autoSpaceDN w:val="0"/>
        <w:adjustRightInd w:val="0"/>
        <w:spacing w:before="100" w:after="100"/>
        <w:ind w:left="6867" w:right="26" w:hanging="6867" w:hangingChars="2850"/>
        <w:rPr>
          <w:rFonts w:ascii="宋体" w:hAnsi="宋体" w:eastAsia="宋体" w:cs="宋体"/>
          <w:kern w:val="0"/>
          <w:sz w:val="24"/>
          <w:szCs w:val="24"/>
        </w:rPr>
      </w:pPr>
      <w:r>
        <w:rPr>
          <w:rFonts w:hint="eastAsia" w:ascii="宋体" w:hAnsi="宋体" w:eastAsia="宋体" w:cs="宋体"/>
          <w:b/>
          <w:bCs/>
          <w:kern w:val="0"/>
          <w:sz w:val="24"/>
          <w:szCs w:val="24"/>
        </w:rPr>
        <w:t>项目业主：</w:t>
      </w:r>
      <w:r>
        <w:rPr>
          <w:rFonts w:hint="eastAsia" w:ascii="宋体" w:hAnsi="宋体" w:eastAsia="宋体" w:cs="宋体"/>
          <w:b/>
          <w:kern w:val="0"/>
          <w:sz w:val="24"/>
          <w:szCs w:val="24"/>
        </w:rPr>
        <w:t>九龙现代（重庆）园区运营管理有限公司</w:t>
      </w:r>
      <w:r>
        <w:rPr>
          <w:rFonts w:ascii="宋体" w:hAnsi="宋体" w:eastAsia="宋体" w:cs="宋体"/>
          <w:b/>
          <w:kern w:val="0"/>
          <w:sz w:val="24"/>
          <w:szCs w:val="24"/>
        </w:rPr>
        <w:t xml:space="preserve"> </w:t>
      </w:r>
      <w:r>
        <w:rPr>
          <w:rFonts w:hint="eastAsia" w:ascii="宋体" w:hAnsi="宋体" w:eastAsia="宋体" w:cs="宋体"/>
          <w:kern w:val="0"/>
          <w:sz w:val="24"/>
          <w:szCs w:val="24"/>
        </w:rPr>
        <w:t xml:space="preserve">                      </w:t>
      </w:r>
    </w:p>
    <w:p w14:paraId="527533B1">
      <w:pPr>
        <w:autoSpaceDE w:val="0"/>
        <w:autoSpaceDN w:val="0"/>
        <w:adjustRightInd w:val="0"/>
        <w:spacing w:before="100" w:after="100"/>
        <w:ind w:left="5662" w:right="720" w:hanging="5662" w:hangingChars="2350"/>
        <w:jc w:val="left"/>
        <w:rPr>
          <w:rFonts w:ascii="宋体" w:hAnsi="宋体" w:eastAsia="宋体" w:cs="宋体"/>
          <w:kern w:val="0"/>
          <w:sz w:val="24"/>
          <w:szCs w:val="24"/>
        </w:rPr>
      </w:pPr>
      <w:r>
        <w:rPr>
          <w:rFonts w:hint="eastAsia" w:ascii="宋体" w:hAnsi="宋体" w:eastAsia="宋体" w:cs="宋体"/>
          <w:b/>
          <w:kern w:val="0"/>
          <w:sz w:val="24"/>
          <w:szCs w:val="24"/>
        </w:rPr>
        <w:t>住    所：</w:t>
      </w:r>
      <w:r>
        <w:rPr>
          <w:rFonts w:hint="eastAsia" w:ascii="宋体" w:hAnsi="宋体" w:eastAsia="宋体" w:cs="宋体"/>
          <w:kern w:val="0"/>
          <w:sz w:val="24"/>
          <w:szCs w:val="24"/>
        </w:rPr>
        <w:t>重庆市九龙坡区西彭镇铝城大道66号</w:t>
      </w:r>
    </w:p>
    <w:p w14:paraId="2B5922AD">
      <w:pPr>
        <w:autoSpaceDE w:val="0"/>
        <w:autoSpaceDN w:val="0"/>
        <w:adjustRightInd w:val="0"/>
        <w:spacing w:before="100" w:after="100"/>
        <w:ind w:left="5640" w:right="720" w:hanging="5640" w:hangingChars="2350"/>
        <w:jc w:val="left"/>
        <w:rPr>
          <w:rFonts w:ascii="宋体" w:hAnsi="宋体" w:eastAsia="宋体" w:cs="宋体"/>
          <w:kern w:val="0"/>
          <w:sz w:val="24"/>
          <w:szCs w:val="24"/>
        </w:rPr>
      </w:pPr>
    </w:p>
    <w:p w14:paraId="5FC732CA">
      <w:pPr>
        <w:autoSpaceDE w:val="0"/>
        <w:autoSpaceDN w:val="0"/>
        <w:adjustRightInd w:val="0"/>
        <w:spacing w:before="100" w:after="100"/>
        <w:ind w:left="5640" w:right="720" w:hanging="5640" w:hangingChars="2350"/>
        <w:jc w:val="left"/>
        <w:rPr>
          <w:rFonts w:ascii="宋体" w:hAnsi="宋体" w:eastAsia="宋体" w:cs="宋体"/>
          <w:kern w:val="0"/>
          <w:sz w:val="24"/>
          <w:szCs w:val="24"/>
        </w:rPr>
      </w:pPr>
      <w:r>
        <w:rPr>
          <w:rFonts w:hint="eastAsia" w:ascii="宋体" w:hAnsi="宋体" w:eastAsia="宋体" w:cs="宋体"/>
          <w:kern w:val="0"/>
          <w:sz w:val="24"/>
          <w:szCs w:val="24"/>
        </w:rPr>
        <w:t xml:space="preserve">法定代表人：                            </w:t>
      </w:r>
      <w:r>
        <w:rPr>
          <w:rFonts w:ascii="宋体" w:hAnsi="宋体" w:eastAsia="宋体" w:cs="宋体"/>
          <w:kern w:val="0"/>
          <w:sz w:val="24"/>
          <w:szCs w:val="24"/>
        </w:rPr>
        <w:t xml:space="preserve"> </w:t>
      </w:r>
    </w:p>
    <w:p w14:paraId="1CADE8CB">
      <w:pPr>
        <w:autoSpaceDE w:val="0"/>
        <w:autoSpaceDN w:val="0"/>
        <w:adjustRightInd w:val="0"/>
        <w:spacing w:before="100" w:after="100"/>
        <w:ind w:right="720"/>
        <w:jc w:val="left"/>
        <w:rPr>
          <w:rFonts w:ascii="宋体" w:hAnsi="宋体" w:eastAsia="宋体" w:cs="宋体"/>
          <w:kern w:val="0"/>
          <w:sz w:val="24"/>
          <w:szCs w:val="24"/>
        </w:rPr>
      </w:pPr>
    </w:p>
    <w:p w14:paraId="0F9253CD">
      <w:pPr>
        <w:autoSpaceDE w:val="0"/>
        <w:autoSpaceDN w:val="0"/>
        <w:adjustRightInd w:val="0"/>
        <w:spacing w:before="100" w:after="100"/>
        <w:ind w:right="720"/>
        <w:jc w:val="left"/>
        <w:rPr>
          <w:rFonts w:ascii="宋体" w:hAnsi="宋体" w:eastAsia="宋体" w:cs="宋体"/>
          <w:kern w:val="0"/>
          <w:sz w:val="24"/>
          <w:szCs w:val="24"/>
        </w:rPr>
      </w:pPr>
      <w:r>
        <w:rPr>
          <w:rFonts w:hint="eastAsia" w:ascii="宋体" w:hAnsi="宋体" w:eastAsia="宋体" w:cs="宋体"/>
          <w:kern w:val="0"/>
          <w:sz w:val="24"/>
          <w:szCs w:val="24"/>
        </w:rPr>
        <w:t>经办人： 甘</w:t>
      </w:r>
      <w:r>
        <w:rPr>
          <w:rFonts w:ascii="宋体" w:hAnsi="宋体" w:eastAsia="宋体" w:cs="宋体"/>
          <w:kern w:val="0"/>
          <w:sz w:val="24"/>
          <w:szCs w:val="24"/>
        </w:rPr>
        <w:t>茂颉</w:t>
      </w:r>
      <w:r>
        <w:rPr>
          <w:rFonts w:hint="eastAsia" w:ascii="宋体" w:hAnsi="宋体" w:eastAsia="宋体" w:cs="宋体"/>
          <w:kern w:val="0"/>
          <w:sz w:val="24"/>
          <w:szCs w:val="24"/>
        </w:rPr>
        <w:t xml:space="preserve">                              </w:t>
      </w:r>
      <w:r>
        <w:rPr>
          <w:rFonts w:ascii="宋体" w:hAnsi="宋体" w:eastAsia="宋体" w:cs="宋体"/>
          <w:kern w:val="0"/>
          <w:sz w:val="24"/>
          <w:szCs w:val="24"/>
        </w:rPr>
        <w:t xml:space="preserve">  </w:t>
      </w:r>
    </w:p>
    <w:p w14:paraId="424D5703">
      <w:pPr>
        <w:autoSpaceDE w:val="0"/>
        <w:autoSpaceDN w:val="0"/>
        <w:adjustRightInd w:val="0"/>
        <w:spacing w:before="100" w:after="100"/>
        <w:ind w:right="720"/>
        <w:jc w:val="left"/>
        <w:rPr>
          <w:rFonts w:ascii="宋体" w:hAnsi="宋体" w:eastAsia="宋体" w:cs="宋体"/>
          <w:kern w:val="0"/>
          <w:sz w:val="24"/>
          <w:szCs w:val="24"/>
        </w:rPr>
      </w:pPr>
      <w:r>
        <w:rPr>
          <w:rFonts w:hint="eastAsia" w:ascii="宋体" w:hAnsi="宋体" w:eastAsia="宋体" w:cs="宋体"/>
          <w:kern w:val="0"/>
          <w:sz w:val="24"/>
          <w:szCs w:val="24"/>
        </w:rPr>
        <w:t xml:space="preserve">                            　</w:t>
      </w:r>
    </w:p>
    <w:p w14:paraId="5C41AFA0">
      <w:pPr>
        <w:autoSpaceDE w:val="0"/>
        <w:autoSpaceDN w:val="0"/>
        <w:adjustRightInd w:val="0"/>
        <w:spacing w:before="100" w:after="100"/>
        <w:ind w:right="720"/>
        <w:jc w:val="left"/>
        <w:rPr>
          <w:rFonts w:ascii="宋体" w:hAnsi="宋体" w:eastAsia="宋体" w:cs="宋体"/>
          <w:kern w:val="0"/>
          <w:sz w:val="24"/>
          <w:szCs w:val="24"/>
        </w:rPr>
      </w:pPr>
      <w:r>
        <w:rPr>
          <w:rFonts w:ascii="宋体" w:hAnsi="宋体" w:eastAsia="宋体" w:cs="宋体"/>
          <w:kern w:val="0"/>
          <w:sz w:val="24"/>
          <w:szCs w:val="24"/>
        </w:rPr>
        <w:t xml:space="preserve">     </w:t>
      </w:r>
    </w:p>
    <w:p w14:paraId="1F4543B4">
      <w:pPr>
        <w:autoSpaceDE w:val="0"/>
        <w:autoSpaceDN w:val="0"/>
        <w:adjustRightInd w:val="0"/>
        <w:spacing w:before="100" w:after="100"/>
        <w:ind w:right="720"/>
        <w:jc w:val="left"/>
        <w:rPr>
          <w:rFonts w:ascii="宋体" w:hAnsi="宋体" w:eastAsia="宋体" w:cs="宋体"/>
          <w:kern w:val="0"/>
          <w:sz w:val="24"/>
          <w:szCs w:val="24"/>
        </w:rPr>
      </w:pPr>
      <w:r>
        <w:rPr>
          <w:rFonts w:hint="eastAsia" w:ascii="宋体" w:hAnsi="宋体" w:eastAsia="宋体" w:cs="宋体"/>
          <w:kern w:val="0"/>
          <w:sz w:val="24"/>
          <w:szCs w:val="24"/>
        </w:rPr>
        <w:t xml:space="preserve">                            　</w:t>
      </w:r>
    </w:p>
    <w:p w14:paraId="3A0E5442">
      <w:pPr>
        <w:autoSpaceDE w:val="0"/>
        <w:autoSpaceDN w:val="0"/>
        <w:adjustRightInd w:val="0"/>
        <w:spacing w:before="100" w:after="100"/>
        <w:ind w:right="720"/>
        <w:jc w:val="left"/>
        <w:rPr>
          <w:rFonts w:ascii="宋体" w:hAnsi="宋体" w:eastAsia="宋体" w:cs="宋体"/>
          <w:kern w:val="0"/>
          <w:sz w:val="24"/>
          <w:szCs w:val="24"/>
        </w:rPr>
      </w:pPr>
      <w:r>
        <w:rPr>
          <w:rFonts w:hint="eastAsia" w:ascii="宋体" w:hAnsi="宋体" w:eastAsia="宋体" w:cs="宋体"/>
          <w:b/>
          <w:bCs/>
          <w:kern w:val="0"/>
          <w:sz w:val="24"/>
          <w:szCs w:val="24"/>
        </w:rPr>
        <w:t>承 包 人：</w:t>
      </w:r>
      <w:r>
        <w:rPr>
          <w:rFonts w:hint="eastAsia" w:ascii="宋体" w:hAnsi="宋体" w:eastAsia="宋体" w:cs="宋体"/>
          <w:kern w:val="0"/>
          <w:sz w:val="24"/>
          <w:szCs w:val="24"/>
        </w:rPr>
        <w:t>　</w:t>
      </w:r>
    </w:p>
    <w:p w14:paraId="38448F81">
      <w:pPr>
        <w:autoSpaceDE w:val="0"/>
        <w:autoSpaceDN w:val="0"/>
        <w:adjustRightInd w:val="0"/>
        <w:spacing w:before="100" w:after="100" w:line="360" w:lineRule="auto"/>
        <w:ind w:right="-334" w:rightChars="-159"/>
        <w:jc w:val="left"/>
        <w:rPr>
          <w:rFonts w:ascii="宋体" w:hAnsi="宋体" w:eastAsia="宋体" w:cs="宋体"/>
          <w:kern w:val="0"/>
          <w:sz w:val="24"/>
          <w:szCs w:val="24"/>
        </w:rPr>
      </w:pPr>
      <w:r>
        <w:rPr>
          <w:rFonts w:hint="eastAsia" w:ascii="宋体" w:hAnsi="宋体" w:eastAsia="宋体" w:cs="宋体"/>
          <w:kern w:val="0"/>
          <w:sz w:val="24"/>
          <w:szCs w:val="24"/>
        </w:rPr>
        <w:t>法定代表人</w:t>
      </w:r>
    </w:p>
    <w:p w14:paraId="5A105ABC">
      <w:pPr>
        <w:autoSpaceDE w:val="0"/>
        <w:autoSpaceDN w:val="0"/>
        <w:adjustRightInd w:val="0"/>
        <w:spacing w:before="100" w:after="100" w:line="360" w:lineRule="auto"/>
        <w:ind w:right="-334" w:rightChars="-159"/>
        <w:jc w:val="left"/>
        <w:rPr>
          <w:rFonts w:ascii="宋体" w:hAnsi="宋体" w:eastAsia="宋体" w:cs="宋体"/>
          <w:kern w:val="0"/>
          <w:sz w:val="24"/>
          <w:szCs w:val="24"/>
        </w:rPr>
      </w:pPr>
      <w:r>
        <w:rPr>
          <w:rFonts w:hint="eastAsia" w:ascii="宋体" w:hAnsi="宋体" w:eastAsia="宋体" w:cs="宋体"/>
          <w:kern w:val="0"/>
          <w:sz w:val="24"/>
          <w:szCs w:val="24"/>
        </w:rPr>
        <w:t>或委托代表人：</w:t>
      </w:r>
    </w:p>
    <w:p w14:paraId="5872AD14">
      <w:pPr>
        <w:autoSpaceDE w:val="0"/>
        <w:autoSpaceDN w:val="0"/>
        <w:adjustRightInd w:val="0"/>
        <w:spacing w:before="100" w:after="100" w:line="360" w:lineRule="auto"/>
        <w:ind w:right="-334" w:rightChars="-159"/>
        <w:jc w:val="left"/>
        <w:rPr>
          <w:rFonts w:ascii="宋体" w:hAnsi="宋体" w:eastAsia="宋体" w:cs="宋体"/>
          <w:kern w:val="0"/>
          <w:sz w:val="24"/>
          <w:szCs w:val="24"/>
        </w:rPr>
      </w:pPr>
      <w:r>
        <w:rPr>
          <w:rFonts w:hint="eastAsia" w:ascii="宋体" w:hAnsi="宋体" w:eastAsia="宋体" w:cs="宋体"/>
          <w:kern w:val="0"/>
          <w:sz w:val="24"/>
          <w:szCs w:val="24"/>
        </w:rPr>
        <w:t>住所：</w:t>
      </w:r>
    </w:p>
    <w:p w14:paraId="2D178C3F">
      <w:pPr>
        <w:pStyle w:val="13"/>
        <w:ind w:firstLine="0"/>
        <w:rPr>
          <w:rFonts w:eastAsia="宋体" w:cs="宋体"/>
          <w:kern w:val="0"/>
          <w:szCs w:val="24"/>
        </w:rPr>
      </w:pPr>
      <w:r>
        <w:rPr>
          <w:rFonts w:hint="eastAsia" w:eastAsia="宋体" w:cs="宋体"/>
          <w:kern w:val="0"/>
          <w:szCs w:val="24"/>
        </w:rPr>
        <w:t>账号：</w:t>
      </w:r>
    </w:p>
    <w:p w14:paraId="28B29BDF">
      <w:pPr>
        <w:pStyle w:val="13"/>
        <w:ind w:firstLine="0"/>
        <w:rPr>
          <w:rFonts w:eastAsia="宋体" w:cs="宋体"/>
          <w:kern w:val="0"/>
          <w:szCs w:val="24"/>
        </w:rPr>
      </w:pPr>
      <w:r>
        <w:rPr>
          <w:rFonts w:hint="eastAsia" w:eastAsia="宋体" w:cs="宋体"/>
          <w:kern w:val="0"/>
          <w:szCs w:val="24"/>
        </w:rPr>
        <w:t>开户行：</w:t>
      </w:r>
    </w:p>
    <w:p w14:paraId="72DD072E">
      <w:pPr>
        <w:autoSpaceDE w:val="0"/>
        <w:autoSpaceDN w:val="0"/>
        <w:adjustRightInd w:val="0"/>
        <w:spacing w:before="100" w:after="100" w:line="360" w:lineRule="auto"/>
        <w:ind w:left="-359" w:leftChars="-171" w:right="-334" w:rightChars="-159" w:firstLine="480"/>
        <w:jc w:val="left"/>
        <w:rPr>
          <w:rFonts w:ascii="宋体" w:hAnsi="宋体" w:eastAsia="宋体" w:cs="宋体"/>
          <w:kern w:val="0"/>
          <w:sz w:val="24"/>
          <w:szCs w:val="24"/>
        </w:rPr>
      </w:pPr>
      <w:r>
        <w:rPr>
          <w:rFonts w:ascii="宋体" w:hAnsi="宋体" w:eastAsia="宋体" w:cs="宋体"/>
          <w:kern w:val="0"/>
          <w:sz w:val="24"/>
          <w:szCs w:val="24"/>
        </w:rPr>
        <w:t xml:space="preserve">                                             </w:t>
      </w:r>
    </w:p>
    <w:p w14:paraId="7C84209D">
      <w:pPr>
        <w:autoSpaceDE w:val="0"/>
        <w:autoSpaceDN w:val="0"/>
        <w:adjustRightInd w:val="0"/>
        <w:spacing w:before="100" w:after="100" w:line="360" w:lineRule="auto"/>
        <w:ind w:left="-359" w:leftChars="-171" w:right="-334" w:rightChars="-159"/>
        <w:jc w:val="left"/>
        <w:rPr>
          <w:rFonts w:ascii="宋体" w:hAnsi="宋体" w:eastAsia="宋体" w:cs="宋体"/>
          <w:kern w:val="0"/>
          <w:sz w:val="24"/>
          <w:szCs w:val="24"/>
        </w:rPr>
      </w:pPr>
    </w:p>
    <w:p w14:paraId="656AC6D4">
      <w:pPr>
        <w:autoSpaceDE w:val="0"/>
        <w:autoSpaceDN w:val="0"/>
        <w:adjustRightInd w:val="0"/>
        <w:spacing w:before="100" w:after="100" w:line="360" w:lineRule="auto"/>
        <w:ind w:left="-359" w:leftChars="-171" w:right="-334" w:rightChars="-159" w:firstLine="5760" w:firstLineChars="2400"/>
        <w:jc w:val="left"/>
        <w:rPr>
          <w:rFonts w:ascii="宋体" w:hAnsi="宋体" w:eastAsia="宋体" w:cs="宋体"/>
          <w:kern w:val="0"/>
          <w:sz w:val="24"/>
          <w:szCs w:val="24"/>
        </w:rPr>
      </w:pPr>
      <w:r>
        <w:rPr>
          <w:rFonts w:ascii="宋体" w:hAnsi="宋体" w:eastAsia="宋体" w:cs="宋体"/>
          <w:kern w:val="0"/>
          <w:sz w:val="24"/>
          <w:szCs w:val="24"/>
        </w:rPr>
        <w:t xml:space="preserve"> </w:t>
      </w:r>
      <w:r>
        <w:rPr>
          <w:rFonts w:hint="eastAsia" w:ascii="宋体" w:hAnsi="宋体" w:eastAsia="宋体" w:cs="宋体"/>
          <w:kern w:val="0"/>
          <w:sz w:val="24"/>
          <w:szCs w:val="24"/>
        </w:rPr>
        <w:t xml:space="preserve">年    </w:t>
      </w:r>
      <w:r>
        <w:rPr>
          <w:rFonts w:ascii="宋体" w:hAnsi="宋体" w:eastAsia="宋体" w:cs="宋体"/>
          <w:kern w:val="0"/>
          <w:sz w:val="24"/>
          <w:szCs w:val="24"/>
        </w:rPr>
        <w:t xml:space="preserve"> </w:t>
      </w:r>
      <w:r>
        <w:rPr>
          <w:rFonts w:hint="eastAsia" w:ascii="宋体" w:hAnsi="宋体" w:eastAsia="宋体" w:cs="宋体"/>
          <w:kern w:val="0"/>
          <w:sz w:val="24"/>
          <w:szCs w:val="24"/>
        </w:rPr>
        <w:t xml:space="preserve">月 </w:t>
      </w:r>
      <w:r>
        <w:rPr>
          <w:rFonts w:ascii="宋体" w:hAnsi="宋体" w:eastAsia="宋体" w:cs="宋体"/>
          <w:kern w:val="0"/>
          <w:sz w:val="24"/>
          <w:szCs w:val="24"/>
        </w:rPr>
        <w:t xml:space="preserve">    </w:t>
      </w:r>
      <w:r>
        <w:rPr>
          <w:rFonts w:hint="eastAsia" w:ascii="宋体" w:hAnsi="宋体" w:eastAsia="宋体" w:cs="宋体"/>
          <w:kern w:val="0"/>
          <w:sz w:val="24"/>
          <w:szCs w:val="24"/>
        </w:rPr>
        <w:t>日</w:t>
      </w:r>
    </w:p>
    <w:p w14:paraId="296401F3">
      <w:pPr>
        <w:autoSpaceDE w:val="0"/>
        <w:autoSpaceDN w:val="0"/>
        <w:adjustRightInd w:val="0"/>
        <w:spacing w:before="100" w:after="100" w:line="360" w:lineRule="auto"/>
        <w:ind w:left="-359" w:leftChars="-171" w:right="-334" w:rightChars="-159"/>
        <w:jc w:val="center"/>
        <w:rPr>
          <w:rFonts w:ascii="宋体" w:hAnsi="宋体" w:eastAsia="宋体" w:cs="宋体"/>
          <w:kern w:val="0"/>
          <w:sz w:val="24"/>
          <w:szCs w:val="24"/>
        </w:rPr>
      </w:pPr>
    </w:p>
    <w:p w14:paraId="41D4CA42">
      <w:pPr>
        <w:pStyle w:val="13"/>
        <w:ind w:firstLine="240"/>
        <w:rPr>
          <w:rFonts w:eastAsia="宋体" w:cs="宋体"/>
          <w:kern w:val="0"/>
          <w:szCs w:val="24"/>
        </w:rPr>
      </w:pPr>
    </w:p>
    <w:p w14:paraId="1744DD29">
      <w:pPr>
        <w:pStyle w:val="13"/>
        <w:ind w:firstLine="240"/>
        <w:rPr>
          <w:rFonts w:eastAsia="宋体" w:cs="宋体"/>
          <w:kern w:val="0"/>
          <w:szCs w:val="24"/>
        </w:rPr>
      </w:pPr>
    </w:p>
    <w:p w14:paraId="33A7593F">
      <w:pPr>
        <w:pStyle w:val="13"/>
        <w:ind w:firstLine="240"/>
        <w:rPr>
          <w:rFonts w:eastAsia="宋体" w:cs="宋体"/>
          <w:kern w:val="0"/>
          <w:szCs w:val="24"/>
        </w:rPr>
      </w:pPr>
    </w:p>
    <w:p w14:paraId="4F74B0FB">
      <w:pPr>
        <w:pStyle w:val="13"/>
        <w:ind w:firstLine="240"/>
        <w:rPr>
          <w:rFonts w:eastAsia="宋体" w:cs="宋体"/>
          <w:kern w:val="0"/>
          <w:szCs w:val="24"/>
        </w:rPr>
      </w:pPr>
    </w:p>
    <w:p w14:paraId="74E5F71E">
      <w:pPr>
        <w:pStyle w:val="13"/>
        <w:ind w:firstLine="240"/>
        <w:rPr>
          <w:rFonts w:eastAsia="宋体" w:cs="宋体"/>
          <w:kern w:val="0"/>
          <w:szCs w:val="24"/>
        </w:rPr>
      </w:pPr>
    </w:p>
    <w:p w14:paraId="3AD3C73A">
      <w:pPr>
        <w:autoSpaceDE w:val="0"/>
        <w:autoSpaceDN w:val="0"/>
        <w:adjustRightInd w:val="0"/>
        <w:spacing w:before="100" w:after="100" w:line="360" w:lineRule="auto"/>
        <w:ind w:right="-334" w:rightChars="-159"/>
        <w:rPr>
          <w:rFonts w:ascii="宋体" w:hAnsi="宋体" w:eastAsia="宋体" w:cs="宋体"/>
          <w:b/>
          <w:kern w:val="0"/>
          <w:sz w:val="24"/>
          <w:szCs w:val="20"/>
          <w:u w:val="single"/>
        </w:rPr>
      </w:pPr>
    </w:p>
    <w:p w14:paraId="55E140BC">
      <w:pPr>
        <w:keepNext/>
        <w:keepLines/>
        <w:spacing w:before="260" w:after="260" w:line="416" w:lineRule="auto"/>
        <w:jc w:val="center"/>
        <w:outlineLvl w:val="1"/>
        <w:rPr>
          <w:rFonts w:ascii="Cambria" w:hAnsi="Cambria" w:eastAsia="宋体" w:cs="Times New Roman"/>
          <w:b/>
          <w:sz w:val="28"/>
          <w:szCs w:val="28"/>
        </w:rPr>
      </w:pPr>
      <w:r>
        <w:rPr>
          <w:rFonts w:hint="eastAsia" w:ascii="Cambria" w:hAnsi="Cambria" w:eastAsia="宋体" w:cs="Times New Roman"/>
          <w:b/>
          <w:snapToGrid w:val="0"/>
          <w:w w:val="99"/>
          <w:kern w:val="0"/>
          <w:sz w:val="36"/>
          <w:szCs w:val="36"/>
        </w:rPr>
        <w:t>第二部分　通用合同条款</w:t>
      </w:r>
    </w:p>
    <w:p w14:paraId="486A9600">
      <w:pPr>
        <w:autoSpaceDE w:val="0"/>
        <w:autoSpaceDN w:val="0"/>
        <w:adjustRightInd w:val="0"/>
        <w:jc w:val="center"/>
        <w:rPr>
          <w:rFonts w:ascii="Calibri" w:hAnsi="Calibri" w:eastAsia="宋体" w:cs="Times New Roman"/>
          <w:b/>
          <w:snapToGrid w:val="0"/>
          <w:w w:val="99"/>
          <w:kern w:val="0"/>
          <w:sz w:val="36"/>
          <w:szCs w:val="36"/>
        </w:rPr>
      </w:pPr>
    </w:p>
    <w:p w14:paraId="25AFCD72">
      <w:pPr>
        <w:rPr>
          <w:rFonts w:ascii="Calibri" w:hAnsi="Calibri" w:eastAsia="宋体" w:cs="Times New Roman"/>
          <w:sz w:val="28"/>
          <w:szCs w:val="28"/>
        </w:rPr>
      </w:pPr>
      <w:r>
        <w:rPr>
          <w:rFonts w:hint="eastAsia" w:ascii="Calibri" w:hAnsi="Calibri" w:eastAsia="宋体" w:cs="Times New Roman"/>
          <w:sz w:val="28"/>
          <w:szCs w:val="28"/>
        </w:rPr>
        <w:t>　　通用合同条款直接引用中华人民共和国《建设工程施工合同》(GF-2017-0201)第二部分“通用合同条款”</w:t>
      </w:r>
    </w:p>
    <w:p w14:paraId="35967D54">
      <w:pPr>
        <w:keepNext/>
        <w:keepLines/>
        <w:spacing w:before="260" w:after="260" w:line="416" w:lineRule="auto"/>
        <w:jc w:val="center"/>
        <w:outlineLvl w:val="1"/>
        <w:rPr>
          <w:rFonts w:ascii="Cambria" w:hAnsi="Cambria" w:eastAsia="宋体" w:cs="Times New Roman"/>
          <w:b/>
          <w:sz w:val="28"/>
          <w:szCs w:val="28"/>
        </w:rPr>
      </w:pPr>
      <w:r>
        <w:rPr>
          <w:rFonts w:hint="eastAsia" w:ascii="Cambria" w:hAnsi="Cambria" w:eastAsia="宋体" w:cs="Times New Roman"/>
          <w:b/>
          <w:snapToGrid w:val="0"/>
          <w:w w:val="99"/>
          <w:kern w:val="0"/>
          <w:sz w:val="36"/>
          <w:szCs w:val="36"/>
        </w:rPr>
        <w:t>第三部分　专用合同条款</w:t>
      </w:r>
    </w:p>
    <w:p w14:paraId="381D5B25">
      <w:pPr>
        <w:rPr>
          <w:rFonts w:ascii="宋体" w:hAnsi="宋体" w:eastAsia="宋体" w:cs="宋体"/>
          <w:b/>
          <w:sz w:val="28"/>
          <w:szCs w:val="28"/>
        </w:rPr>
      </w:pPr>
      <w:r>
        <w:rPr>
          <w:rFonts w:hint="eastAsia" w:ascii="宋体" w:hAnsi="宋体" w:eastAsia="宋体" w:cs="宋体"/>
          <w:b/>
          <w:sz w:val="28"/>
          <w:szCs w:val="28"/>
        </w:rPr>
        <w:t xml:space="preserve"> [专用合同条款是对通用合同条款原则性约定的细化、完善、补充的条款。]</w:t>
      </w:r>
    </w:p>
    <w:p w14:paraId="323D5B8E">
      <w:pPr>
        <w:keepNext/>
        <w:keepLines/>
        <w:spacing w:line="440" w:lineRule="atLeast"/>
        <w:outlineLvl w:val="2"/>
        <w:rPr>
          <w:rFonts w:ascii="宋体" w:hAnsi="宋体" w:eastAsia="宋体" w:cs="宋体"/>
          <w:b/>
          <w:bCs/>
          <w:sz w:val="24"/>
          <w:szCs w:val="24"/>
        </w:rPr>
      </w:pPr>
      <w:bookmarkStart w:id="22" w:name="_Toc431395317"/>
      <w:bookmarkStart w:id="23" w:name="_Toc398019744"/>
      <w:bookmarkStart w:id="24" w:name="_Toc395710634"/>
      <w:bookmarkStart w:id="25" w:name="_Toc10500"/>
      <w:bookmarkStart w:id="26" w:name="_Toc398821396"/>
      <w:bookmarkStart w:id="27" w:name="_Toc409117903"/>
      <w:r>
        <w:rPr>
          <w:rFonts w:hint="eastAsia" w:ascii="宋体" w:hAnsi="宋体" w:eastAsia="宋体" w:cs="宋体"/>
          <w:b/>
          <w:bCs/>
          <w:sz w:val="24"/>
          <w:szCs w:val="24"/>
        </w:rPr>
        <w:t>第一条 一般约定</w:t>
      </w:r>
      <w:bookmarkEnd w:id="22"/>
      <w:bookmarkEnd w:id="23"/>
      <w:bookmarkEnd w:id="24"/>
      <w:bookmarkEnd w:id="25"/>
      <w:bookmarkEnd w:id="26"/>
      <w:bookmarkEnd w:id="27"/>
    </w:p>
    <w:p w14:paraId="51360133">
      <w:pPr>
        <w:widowControl/>
        <w:snapToGrid w:val="0"/>
        <w:spacing w:line="450" w:lineRule="atLeast"/>
        <w:ind w:firstLine="482" w:firstLineChars="200"/>
        <w:jc w:val="left"/>
        <w:rPr>
          <w:rFonts w:ascii="宋体" w:hAnsi="宋体" w:eastAsia="宋体" w:cs="宋体"/>
          <w:b/>
          <w:bCs/>
          <w:kern w:val="0"/>
          <w:sz w:val="24"/>
          <w:szCs w:val="24"/>
        </w:rPr>
      </w:pPr>
      <w:r>
        <w:rPr>
          <w:rFonts w:ascii="宋体" w:hAnsi="宋体" w:eastAsia="宋体" w:cs="宋体"/>
          <w:b/>
          <w:bCs/>
          <w:kern w:val="0"/>
          <w:sz w:val="24"/>
          <w:szCs w:val="24"/>
        </w:rPr>
        <w:t xml:space="preserve">1.1  </w:t>
      </w:r>
      <w:r>
        <w:rPr>
          <w:rFonts w:hint="eastAsia" w:ascii="宋体" w:hAnsi="宋体" w:eastAsia="宋体" w:cs="宋体"/>
          <w:b/>
          <w:bCs/>
          <w:kern w:val="0"/>
          <w:sz w:val="24"/>
          <w:szCs w:val="24"/>
        </w:rPr>
        <w:t>词语定义</w:t>
      </w:r>
    </w:p>
    <w:p w14:paraId="4185B136">
      <w:pPr>
        <w:widowControl/>
        <w:snapToGrid w:val="0"/>
        <w:spacing w:line="500" w:lineRule="exact"/>
        <w:jc w:val="left"/>
        <w:rPr>
          <w:rFonts w:ascii="宋体" w:hAnsi="宋体" w:eastAsia="宋体" w:cs="宋体"/>
          <w:kern w:val="0"/>
          <w:sz w:val="24"/>
          <w:szCs w:val="24"/>
        </w:rPr>
      </w:pPr>
      <w:r>
        <w:rPr>
          <w:rFonts w:ascii="宋体" w:hAnsi="宋体" w:eastAsia="宋体" w:cs="宋体"/>
          <w:kern w:val="0"/>
          <w:sz w:val="24"/>
          <w:szCs w:val="24"/>
        </w:rPr>
        <w:t xml:space="preserve">    1.1.</w:t>
      </w:r>
      <w:r>
        <w:rPr>
          <w:rFonts w:hint="eastAsia" w:ascii="宋体" w:hAnsi="宋体" w:eastAsia="宋体" w:cs="宋体"/>
          <w:kern w:val="0"/>
          <w:sz w:val="24"/>
          <w:szCs w:val="24"/>
        </w:rPr>
        <w:t>1</w:t>
      </w:r>
      <w:r>
        <w:rPr>
          <w:rFonts w:ascii="宋体" w:hAnsi="宋体" w:eastAsia="宋体" w:cs="宋体"/>
          <w:kern w:val="0"/>
          <w:sz w:val="24"/>
          <w:szCs w:val="24"/>
        </w:rPr>
        <w:t xml:space="preserve">  </w:t>
      </w:r>
      <w:r>
        <w:rPr>
          <w:rFonts w:hint="eastAsia" w:ascii="宋体" w:hAnsi="宋体" w:eastAsia="宋体" w:cs="宋体"/>
          <w:kern w:val="0"/>
          <w:sz w:val="24"/>
          <w:szCs w:val="24"/>
        </w:rPr>
        <w:t>合同当事人和人员</w:t>
      </w:r>
    </w:p>
    <w:p w14:paraId="0E484261">
      <w:pPr>
        <w:widowControl/>
        <w:snapToGrid w:val="0"/>
        <w:spacing w:line="500" w:lineRule="exact"/>
        <w:ind w:right="-250" w:rightChars="-119" w:firstLine="480"/>
        <w:jc w:val="left"/>
        <w:rPr>
          <w:rFonts w:ascii="宋体" w:hAnsi="宋体" w:eastAsia="宋体" w:cs="宋体"/>
          <w:kern w:val="0"/>
          <w:sz w:val="24"/>
          <w:szCs w:val="24"/>
          <w:u w:val="single"/>
        </w:rPr>
      </w:pPr>
      <w:r>
        <w:rPr>
          <w:rFonts w:ascii="宋体" w:hAnsi="宋体" w:eastAsia="宋体" w:cs="宋体"/>
          <w:kern w:val="0"/>
          <w:sz w:val="24"/>
          <w:szCs w:val="24"/>
        </w:rPr>
        <w:t>1.1.2.</w:t>
      </w:r>
      <w:r>
        <w:rPr>
          <w:rFonts w:hint="eastAsia" w:ascii="宋体" w:hAnsi="宋体" w:eastAsia="宋体" w:cs="宋体"/>
          <w:kern w:val="0"/>
          <w:sz w:val="24"/>
          <w:szCs w:val="24"/>
        </w:rPr>
        <w:t>1</w:t>
      </w:r>
      <w:r>
        <w:rPr>
          <w:rFonts w:ascii="宋体" w:hAnsi="宋体" w:eastAsia="宋体" w:cs="宋体"/>
          <w:kern w:val="0"/>
          <w:sz w:val="24"/>
          <w:szCs w:val="24"/>
        </w:rPr>
        <w:t xml:space="preserve"> </w:t>
      </w:r>
      <w:r>
        <w:rPr>
          <w:rFonts w:hint="eastAsia" w:ascii="宋体" w:hAnsi="宋体" w:eastAsia="宋体" w:cs="宋体"/>
          <w:kern w:val="0"/>
          <w:sz w:val="24"/>
          <w:szCs w:val="24"/>
        </w:rPr>
        <w:t>项目业主：</w:t>
      </w:r>
      <w:r>
        <w:rPr>
          <w:rFonts w:hint="eastAsia" w:ascii="宋体" w:hAnsi="宋体" w:eastAsia="宋体" w:cs="宋体"/>
          <w:kern w:val="0"/>
          <w:sz w:val="24"/>
          <w:szCs w:val="24"/>
          <w:u w:val="single"/>
        </w:rPr>
        <w:t>九龙现代（重庆）园区运营管理有限公司</w:t>
      </w:r>
    </w:p>
    <w:p w14:paraId="6A5A3C85">
      <w:pPr>
        <w:widowControl/>
        <w:snapToGrid w:val="0"/>
        <w:spacing w:line="500" w:lineRule="exact"/>
        <w:ind w:right="-250" w:rightChars="-119" w:firstLine="480"/>
        <w:jc w:val="left"/>
      </w:pPr>
      <w:r>
        <w:rPr>
          <w:rFonts w:ascii="宋体" w:hAnsi="宋体" w:eastAsia="宋体" w:cs="宋体"/>
          <w:kern w:val="0"/>
          <w:sz w:val="24"/>
          <w:szCs w:val="24"/>
        </w:rPr>
        <w:t>1.1.2.</w:t>
      </w:r>
      <w:r>
        <w:rPr>
          <w:rFonts w:hint="eastAsia" w:ascii="宋体" w:hAnsi="宋体" w:eastAsia="宋体" w:cs="宋体"/>
          <w:kern w:val="0"/>
          <w:sz w:val="24"/>
          <w:szCs w:val="24"/>
        </w:rPr>
        <w:t>2</w:t>
      </w:r>
      <w:r>
        <w:rPr>
          <w:rFonts w:ascii="宋体" w:hAnsi="宋体" w:eastAsia="宋体" w:cs="宋体"/>
          <w:kern w:val="0"/>
          <w:sz w:val="24"/>
          <w:szCs w:val="24"/>
        </w:rPr>
        <w:t xml:space="preserve"> </w:t>
      </w:r>
      <w:r>
        <w:rPr>
          <w:rFonts w:hint="eastAsia" w:ascii="宋体" w:hAnsi="宋体" w:eastAsia="宋体" w:cs="宋体"/>
          <w:kern w:val="0"/>
          <w:sz w:val="24"/>
          <w:szCs w:val="24"/>
        </w:rPr>
        <w:t>代理业主：</w:t>
      </w:r>
      <w:r>
        <w:rPr>
          <w:rFonts w:hint="eastAsia" w:ascii="宋体" w:hAnsi="宋体" w:eastAsia="宋体" w:cs="宋体"/>
          <w:kern w:val="0"/>
          <w:sz w:val="24"/>
          <w:szCs w:val="24"/>
          <w:u w:val="single"/>
        </w:rPr>
        <w:t>*</w:t>
      </w:r>
      <w:r>
        <w:rPr>
          <w:rFonts w:ascii="宋体" w:hAnsi="宋体" w:eastAsia="宋体" w:cs="宋体"/>
          <w:kern w:val="0"/>
          <w:sz w:val="24"/>
          <w:szCs w:val="24"/>
          <w:u w:val="single"/>
        </w:rPr>
        <w:t>**</w:t>
      </w:r>
    </w:p>
    <w:p w14:paraId="22E7456D">
      <w:pPr>
        <w:widowControl/>
        <w:snapToGrid w:val="0"/>
        <w:spacing w:line="500" w:lineRule="exact"/>
        <w:ind w:right="-250" w:rightChars="-119" w:firstLine="480"/>
        <w:jc w:val="left"/>
        <w:rPr>
          <w:rFonts w:ascii="宋体" w:hAnsi="宋体" w:eastAsia="宋体" w:cs="宋体"/>
          <w:kern w:val="0"/>
          <w:sz w:val="24"/>
          <w:szCs w:val="24"/>
          <w:u w:val="single"/>
        </w:rPr>
      </w:pPr>
      <w:r>
        <w:rPr>
          <w:rFonts w:ascii="宋体" w:hAnsi="宋体" w:eastAsia="宋体" w:cs="宋体"/>
          <w:kern w:val="0"/>
          <w:sz w:val="24"/>
          <w:szCs w:val="24"/>
        </w:rPr>
        <w:t>1.1.2.</w:t>
      </w:r>
      <w:r>
        <w:rPr>
          <w:rFonts w:hint="eastAsia" w:ascii="宋体" w:hAnsi="宋体" w:eastAsia="宋体" w:cs="宋体"/>
          <w:kern w:val="0"/>
          <w:sz w:val="24"/>
          <w:szCs w:val="24"/>
        </w:rPr>
        <w:t>3</w:t>
      </w:r>
      <w:r>
        <w:rPr>
          <w:rFonts w:ascii="宋体" w:hAnsi="宋体" w:eastAsia="宋体" w:cs="宋体"/>
          <w:kern w:val="0"/>
          <w:sz w:val="24"/>
          <w:szCs w:val="24"/>
        </w:rPr>
        <w:t xml:space="preserve"> </w:t>
      </w:r>
      <w:r>
        <w:rPr>
          <w:rFonts w:hint="eastAsia" w:ascii="宋体" w:hAnsi="宋体" w:eastAsia="宋体" w:cs="宋体"/>
          <w:kern w:val="0"/>
          <w:sz w:val="24"/>
          <w:szCs w:val="24"/>
        </w:rPr>
        <w:t xml:space="preserve">承包人： </w:t>
      </w:r>
      <w:r>
        <w:rPr>
          <w:rFonts w:hint="eastAsia" w:ascii="宋体" w:hAnsi="宋体" w:eastAsia="宋体" w:cs="宋体"/>
          <w:kern w:val="0"/>
          <w:sz w:val="24"/>
          <w:szCs w:val="24"/>
          <w:u w:val="single"/>
        </w:rPr>
        <w:t>************</w:t>
      </w:r>
    </w:p>
    <w:p w14:paraId="60CF98DF">
      <w:pPr>
        <w:widowControl/>
        <w:snapToGrid w:val="0"/>
        <w:spacing w:line="500" w:lineRule="exact"/>
        <w:ind w:firstLine="480"/>
        <w:jc w:val="left"/>
        <w:rPr>
          <w:rFonts w:ascii="宋体" w:hAnsi="宋体" w:eastAsia="宋体" w:cs="宋体"/>
          <w:kern w:val="0"/>
          <w:sz w:val="24"/>
          <w:szCs w:val="24"/>
          <w:u w:val="single"/>
        </w:rPr>
      </w:pPr>
      <w:r>
        <w:rPr>
          <w:rFonts w:hint="eastAsia" w:ascii="宋体" w:hAnsi="宋体" w:eastAsia="宋体" w:cs="宋体"/>
          <w:kern w:val="0"/>
          <w:sz w:val="24"/>
          <w:szCs w:val="24"/>
        </w:rPr>
        <w:t>1.1.2.4 监理人：</w:t>
      </w:r>
      <w:r>
        <w:rPr>
          <w:rFonts w:hint="eastAsia" w:ascii="宋体" w:hAnsi="宋体" w:eastAsia="宋体" w:cs="宋体"/>
          <w:kern w:val="0"/>
          <w:sz w:val="24"/>
          <w:szCs w:val="24"/>
          <w:u w:val="single"/>
        </w:rPr>
        <w:t>********</w:t>
      </w:r>
    </w:p>
    <w:p w14:paraId="47783EF8">
      <w:pPr>
        <w:widowControl/>
        <w:snapToGrid w:val="0"/>
        <w:spacing w:line="500" w:lineRule="exact"/>
        <w:ind w:firstLine="465"/>
        <w:jc w:val="left"/>
        <w:rPr>
          <w:rFonts w:ascii="宋体" w:hAnsi="宋体" w:eastAsia="宋体" w:cs="宋体"/>
          <w:kern w:val="0"/>
          <w:sz w:val="24"/>
          <w:szCs w:val="24"/>
        </w:rPr>
      </w:pPr>
      <w:r>
        <w:rPr>
          <w:rFonts w:ascii="宋体" w:hAnsi="宋体" w:eastAsia="宋体" w:cs="宋体"/>
          <w:kern w:val="0"/>
          <w:sz w:val="24"/>
          <w:szCs w:val="24"/>
        </w:rPr>
        <w:t>1.1.</w:t>
      </w:r>
      <w:r>
        <w:rPr>
          <w:rFonts w:hint="eastAsia" w:ascii="宋体" w:hAnsi="宋体" w:eastAsia="宋体" w:cs="宋体"/>
          <w:kern w:val="0"/>
          <w:sz w:val="24"/>
          <w:szCs w:val="24"/>
        </w:rPr>
        <w:t>2工程和设备</w:t>
      </w:r>
    </w:p>
    <w:p w14:paraId="4C6086B1">
      <w:pPr>
        <w:widowControl/>
        <w:snapToGrid w:val="0"/>
        <w:spacing w:line="500" w:lineRule="exact"/>
        <w:ind w:firstLine="465"/>
        <w:jc w:val="left"/>
        <w:rPr>
          <w:rFonts w:ascii="宋体" w:hAnsi="宋体" w:eastAsia="宋体" w:cs="宋体"/>
          <w:kern w:val="0"/>
          <w:sz w:val="24"/>
          <w:szCs w:val="24"/>
        </w:rPr>
      </w:pPr>
      <w:r>
        <w:rPr>
          <w:rFonts w:hint="eastAsia" w:ascii="宋体" w:hAnsi="宋体" w:eastAsia="宋体" w:cs="宋体"/>
          <w:kern w:val="0"/>
          <w:sz w:val="24"/>
          <w:szCs w:val="24"/>
        </w:rPr>
        <w:t>1.1.3.1工程施工范围：</w:t>
      </w:r>
      <w:r>
        <w:rPr>
          <w:rFonts w:ascii="宋体" w:hAnsi="宋体" w:eastAsia="宋体" w:cs="宋体"/>
          <w:kern w:val="0"/>
          <w:sz w:val="24"/>
          <w:szCs w:val="24"/>
          <w:u w:val="single"/>
        </w:rPr>
        <w:t xml:space="preserve"> </w:t>
      </w:r>
      <w:r>
        <w:rPr>
          <w:rFonts w:hint="eastAsia" w:ascii="宋体" w:hAnsi="宋体" w:eastAsia="宋体" w:cs="宋体"/>
          <w:kern w:val="0"/>
          <w:sz w:val="24"/>
          <w:szCs w:val="24"/>
          <w:u w:val="single"/>
        </w:rPr>
        <w:t>*****************。</w:t>
      </w:r>
    </w:p>
    <w:p w14:paraId="10BE5502">
      <w:pPr>
        <w:widowControl/>
        <w:snapToGrid w:val="0"/>
        <w:spacing w:line="500" w:lineRule="exact"/>
        <w:jc w:val="left"/>
        <w:rPr>
          <w:rFonts w:ascii="宋体" w:hAnsi="宋体" w:eastAsia="宋体" w:cs="宋体"/>
          <w:kern w:val="0"/>
          <w:sz w:val="24"/>
          <w:szCs w:val="24"/>
        </w:rPr>
      </w:pPr>
      <w:r>
        <w:rPr>
          <w:rFonts w:ascii="宋体" w:hAnsi="宋体" w:eastAsia="宋体" w:cs="宋体"/>
          <w:kern w:val="0"/>
          <w:sz w:val="24"/>
          <w:szCs w:val="24"/>
        </w:rPr>
        <w:t xml:space="preserve">    1.1.</w:t>
      </w:r>
      <w:r>
        <w:rPr>
          <w:rFonts w:hint="eastAsia" w:ascii="宋体" w:hAnsi="宋体" w:eastAsia="宋体" w:cs="宋体"/>
          <w:kern w:val="0"/>
          <w:sz w:val="24"/>
          <w:szCs w:val="24"/>
        </w:rPr>
        <w:t>3</w:t>
      </w:r>
      <w:r>
        <w:rPr>
          <w:rFonts w:ascii="宋体" w:hAnsi="宋体" w:eastAsia="宋体" w:cs="宋体"/>
          <w:kern w:val="0"/>
          <w:sz w:val="24"/>
          <w:szCs w:val="24"/>
        </w:rPr>
        <w:t xml:space="preserve"> </w:t>
      </w:r>
      <w:r>
        <w:rPr>
          <w:rFonts w:hint="eastAsia" w:ascii="宋体" w:hAnsi="宋体" w:eastAsia="宋体" w:cs="宋体"/>
          <w:kern w:val="0"/>
          <w:sz w:val="24"/>
          <w:szCs w:val="24"/>
        </w:rPr>
        <w:t>日期</w:t>
      </w:r>
    </w:p>
    <w:p w14:paraId="4ED7340D">
      <w:pPr>
        <w:widowControl/>
        <w:snapToGrid w:val="0"/>
        <w:spacing w:line="500" w:lineRule="exact"/>
        <w:ind w:firstLine="465"/>
        <w:jc w:val="left"/>
        <w:rPr>
          <w:rFonts w:ascii="宋体" w:hAnsi="宋体" w:eastAsia="宋体" w:cs="宋体"/>
          <w:kern w:val="0"/>
          <w:sz w:val="24"/>
          <w:szCs w:val="24"/>
          <w:u w:val="single"/>
        </w:rPr>
      </w:pPr>
      <w:r>
        <w:rPr>
          <w:rFonts w:ascii="宋体" w:hAnsi="宋体" w:eastAsia="宋体" w:cs="宋体"/>
          <w:kern w:val="0"/>
          <w:sz w:val="24"/>
          <w:szCs w:val="24"/>
        </w:rPr>
        <w:t>1.1.</w:t>
      </w:r>
      <w:r>
        <w:rPr>
          <w:rFonts w:hint="eastAsia" w:ascii="宋体" w:hAnsi="宋体" w:eastAsia="宋体" w:cs="宋体"/>
          <w:kern w:val="0"/>
          <w:sz w:val="24"/>
          <w:szCs w:val="24"/>
        </w:rPr>
        <w:t>3.1</w:t>
      </w:r>
      <w:r>
        <w:rPr>
          <w:rFonts w:ascii="宋体" w:hAnsi="宋体" w:eastAsia="宋体" w:cs="宋体"/>
          <w:kern w:val="0"/>
          <w:sz w:val="24"/>
          <w:szCs w:val="24"/>
        </w:rPr>
        <w:t xml:space="preserve"> </w:t>
      </w:r>
      <w:r>
        <w:rPr>
          <w:rFonts w:hint="eastAsia" w:ascii="宋体" w:hAnsi="宋体" w:eastAsia="宋体" w:cs="宋体"/>
          <w:kern w:val="0"/>
          <w:sz w:val="24"/>
          <w:szCs w:val="24"/>
        </w:rPr>
        <w:t>质保期：自工程竣工验收合格之日起计算，缺陷</w:t>
      </w:r>
      <w:r>
        <w:rPr>
          <w:rFonts w:ascii="宋体" w:hAnsi="宋体" w:eastAsia="宋体" w:cs="宋体"/>
          <w:kern w:val="0"/>
          <w:sz w:val="24"/>
          <w:szCs w:val="24"/>
        </w:rPr>
        <w:t>责任期</w:t>
      </w:r>
      <w:r>
        <w:rPr>
          <w:rFonts w:hint="eastAsia" w:ascii="宋体" w:hAnsi="宋体" w:eastAsia="宋体" w:cs="宋体"/>
          <w:kern w:val="0"/>
          <w:sz w:val="24"/>
          <w:szCs w:val="24"/>
        </w:rPr>
        <w:t>2年</w:t>
      </w:r>
      <w:r>
        <w:rPr>
          <w:rFonts w:ascii="宋体" w:hAnsi="宋体" w:eastAsia="宋体" w:cs="宋体"/>
          <w:kern w:val="0"/>
          <w:sz w:val="24"/>
          <w:szCs w:val="24"/>
        </w:rPr>
        <w:t>，</w:t>
      </w:r>
      <w:r>
        <w:rPr>
          <w:rFonts w:hint="eastAsia" w:ascii="宋体" w:hAnsi="宋体" w:eastAsia="宋体" w:cs="宋体"/>
          <w:kern w:val="0"/>
          <w:sz w:val="24"/>
          <w:szCs w:val="24"/>
        </w:rPr>
        <w:t>承包人应在质保期内须对工程质量缺陷进行维修，并自行承担维修费用。</w:t>
      </w:r>
    </w:p>
    <w:p w14:paraId="5487F5BA">
      <w:pPr>
        <w:widowControl/>
        <w:snapToGrid w:val="0"/>
        <w:spacing w:line="500" w:lineRule="exact"/>
        <w:ind w:firstLine="462" w:firstLineChars="200"/>
        <w:jc w:val="left"/>
        <w:rPr>
          <w:rFonts w:ascii="宋体" w:hAnsi="宋体" w:eastAsia="宋体" w:cs="宋体"/>
          <w:b/>
          <w:bCs/>
          <w:kern w:val="0"/>
          <w:sz w:val="23"/>
          <w:szCs w:val="23"/>
        </w:rPr>
      </w:pPr>
      <w:r>
        <w:rPr>
          <w:rFonts w:ascii="宋体" w:hAnsi="宋体" w:eastAsia="宋体" w:cs="宋体"/>
          <w:b/>
          <w:bCs/>
          <w:kern w:val="0"/>
          <w:sz w:val="23"/>
          <w:szCs w:val="23"/>
        </w:rPr>
        <w:t>1.</w:t>
      </w:r>
      <w:r>
        <w:rPr>
          <w:rFonts w:hint="eastAsia" w:ascii="宋体" w:hAnsi="宋体" w:eastAsia="宋体" w:cs="宋体"/>
          <w:b/>
          <w:bCs/>
          <w:kern w:val="0"/>
          <w:sz w:val="23"/>
          <w:szCs w:val="23"/>
        </w:rPr>
        <w:t>2合同文件的优先顺序</w:t>
      </w:r>
      <w:r>
        <w:rPr>
          <w:rFonts w:ascii="宋体" w:hAnsi="宋体" w:eastAsia="宋体" w:cs="宋体"/>
          <w:b/>
          <w:bCs/>
          <w:kern w:val="0"/>
          <w:sz w:val="23"/>
          <w:szCs w:val="23"/>
        </w:rPr>
        <w:t xml:space="preserve">    </w:t>
      </w:r>
    </w:p>
    <w:p w14:paraId="0E9BA6EE">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1</w:t>
      </w:r>
      <w:r>
        <w:rPr>
          <w:rFonts w:hint="eastAsia" w:ascii="宋体" w:hAnsi="宋体" w:eastAsia="宋体" w:cs="宋体"/>
          <w:kern w:val="0"/>
          <w:sz w:val="24"/>
        </w:rPr>
        <w:t>）合同协议书及各种合同附件（含招标文件、评标期间和合同谈判过程中的澄清文件和补充资料）；</w:t>
      </w:r>
    </w:p>
    <w:p w14:paraId="728CEA75">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2</w:t>
      </w:r>
      <w:r>
        <w:rPr>
          <w:rFonts w:hint="eastAsia" w:ascii="宋体" w:hAnsi="宋体" w:eastAsia="宋体" w:cs="宋体"/>
          <w:kern w:val="0"/>
          <w:sz w:val="24"/>
        </w:rPr>
        <w:t>）中标通知书（如果有）；</w:t>
      </w:r>
    </w:p>
    <w:p w14:paraId="7CFEB8F4">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3</w:t>
      </w:r>
      <w:r>
        <w:rPr>
          <w:rFonts w:hint="eastAsia" w:ascii="宋体" w:hAnsi="宋体" w:eastAsia="宋体" w:cs="宋体"/>
          <w:kern w:val="0"/>
          <w:sz w:val="24"/>
        </w:rPr>
        <w:t>）补遗书（澄清、修改）；</w:t>
      </w:r>
    </w:p>
    <w:p w14:paraId="5846D9C7">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4</w:t>
      </w:r>
      <w:r>
        <w:rPr>
          <w:rFonts w:hint="eastAsia" w:ascii="宋体" w:hAnsi="宋体" w:eastAsia="宋体" w:cs="宋体"/>
          <w:kern w:val="0"/>
          <w:sz w:val="24"/>
        </w:rPr>
        <w:t>）投标函及投标函附录；</w:t>
      </w:r>
    </w:p>
    <w:p w14:paraId="054886A3">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5</w:t>
      </w:r>
      <w:r>
        <w:rPr>
          <w:rFonts w:hint="eastAsia" w:ascii="宋体" w:hAnsi="宋体" w:eastAsia="宋体" w:cs="宋体"/>
          <w:kern w:val="0"/>
          <w:sz w:val="24"/>
        </w:rPr>
        <w:t>）专用合同条款；</w:t>
      </w:r>
    </w:p>
    <w:p w14:paraId="01A0D6DC">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6</w:t>
      </w:r>
      <w:r>
        <w:rPr>
          <w:rFonts w:hint="eastAsia" w:ascii="宋体" w:hAnsi="宋体" w:eastAsia="宋体" w:cs="宋体"/>
          <w:kern w:val="0"/>
          <w:sz w:val="24"/>
        </w:rPr>
        <w:t>）通用合同条款；</w:t>
      </w:r>
    </w:p>
    <w:p w14:paraId="4DA9B7C2">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7</w:t>
      </w:r>
      <w:r>
        <w:rPr>
          <w:rFonts w:hint="eastAsia" w:ascii="宋体" w:hAnsi="宋体" w:eastAsia="宋体" w:cs="宋体"/>
          <w:kern w:val="0"/>
          <w:sz w:val="24"/>
        </w:rPr>
        <w:t>）技术标准和要求；</w:t>
      </w:r>
      <w:r>
        <w:rPr>
          <w:rFonts w:ascii="宋体" w:hAnsi="宋体" w:eastAsia="宋体" w:cs="宋体"/>
          <w:kern w:val="0"/>
          <w:sz w:val="24"/>
        </w:rPr>
        <w:t xml:space="preserve"> </w:t>
      </w:r>
    </w:p>
    <w:p w14:paraId="246139E2">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8</w:t>
      </w:r>
      <w:r>
        <w:rPr>
          <w:rFonts w:hint="eastAsia" w:ascii="宋体" w:hAnsi="宋体" w:eastAsia="宋体" w:cs="宋体"/>
          <w:kern w:val="0"/>
          <w:sz w:val="24"/>
        </w:rPr>
        <w:t>）已标价工程量清单；</w:t>
      </w:r>
    </w:p>
    <w:p w14:paraId="210A6082">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9</w:t>
      </w:r>
      <w:r>
        <w:rPr>
          <w:rFonts w:hint="eastAsia" w:ascii="宋体" w:hAnsi="宋体" w:eastAsia="宋体" w:cs="宋体"/>
          <w:kern w:val="0"/>
          <w:sz w:val="24"/>
        </w:rPr>
        <w:t>）图纸；</w:t>
      </w:r>
    </w:p>
    <w:p w14:paraId="3C829D18">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10</w:t>
      </w:r>
      <w:r>
        <w:rPr>
          <w:rFonts w:hint="eastAsia" w:ascii="宋体" w:hAnsi="宋体" w:eastAsia="宋体" w:cs="宋体"/>
          <w:kern w:val="0"/>
          <w:sz w:val="24"/>
        </w:rPr>
        <w:t>）已标价工程量清单或预算书；</w:t>
      </w:r>
    </w:p>
    <w:p w14:paraId="51DD55BA">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w:t>
      </w:r>
      <w:r>
        <w:rPr>
          <w:rFonts w:ascii="宋体" w:hAnsi="宋体" w:eastAsia="宋体" w:cs="宋体"/>
          <w:kern w:val="0"/>
          <w:sz w:val="24"/>
        </w:rPr>
        <w:t>11</w:t>
      </w:r>
      <w:r>
        <w:rPr>
          <w:rFonts w:hint="eastAsia" w:ascii="宋体" w:hAnsi="宋体" w:eastAsia="宋体" w:cs="宋体"/>
          <w:kern w:val="0"/>
          <w:sz w:val="24"/>
        </w:rPr>
        <w:t>）其他合同文件。</w:t>
      </w:r>
    </w:p>
    <w:p w14:paraId="64F04F8D">
      <w:pPr>
        <w:widowControl/>
        <w:snapToGrid w:val="0"/>
        <w:spacing w:line="500" w:lineRule="exact"/>
        <w:ind w:firstLine="462" w:firstLineChars="200"/>
        <w:jc w:val="left"/>
        <w:rPr>
          <w:rFonts w:ascii="宋体" w:hAnsi="宋体" w:eastAsia="宋体" w:cs="宋体"/>
          <w:b/>
          <w:bCs/>
          <w:kern w:val="0"/>
          <w:sz w:val="23"/>
          <w:szCs w:val="23"/>
        </w:rPr>
      </w:pPr>
      <w:r>
        <w:rPr>
          <w:rFonts w:ascii="宋体" w:hAnsi="宋体" w:eastAsia="宋体" w:cs="宋体"/>
          <w:b/>
          <w:bCs/>
          <w:kern w:val="0"/>
          <w:sz w:val="23"/>
          <w:szCs w:val="23"/>
        </w:rPr>
        <w:t>1.</w:t>
      </w:r>
      <w:r>
        <w:rPr>
          <w:rFonts w:hint="eastAsia" w:ascii="宋体" w:hAnsi="宋体" w:eastAsia="宋体" w:cs="宋体"/>
          <w:b/>
          <w:bCs/>
          <w:kern w:val="0"/>
          <w:sz w:val="23"/>
          <w:szCs w:val="23"/>
        </w:rPr>
        <w:t>3</w:t>
      </w:r>
      <w:r>
        <w:rPr>
          <w:rFonts w:ascii="宋体" w:hAnsi="宋体" w:eastAsia="宋体" w:cs="宋体"/>
          <w:b/>
          <w:bCs/>
          <w:kern w:val="0"/>
          <w:sz w:val="23"/>
          <w:szCs w:val="23"/>
        </w:rPr>
        <w:t xml:space="preserve">  </w:t>
      </w:r>
      <w:r>
        <w:rPr>
          <w:rFonts w:hint="eastAsia" w:ascii="宋体" w:hAnsi="宋体" w:eastAsia="宋体" w:cs="宋体"/>
          <w:b/>
          <w:bCs/>
          <w:kern w:val="0"/>
          <w:sz w:val="23"/>
          <w:szCs w:val="23"/>
        </w:rPr>
        <w:t>合同生效的条件</w:t>
      </w:r>
    </w:p>
    <w:p w14:paraId="5ED2A8C7">
      <w:pPr>
        <w:widowControl/>
        <w:snapToGrid w:val="0"/>
        <w:spacing w:line="500" w:lineRule="exact"/>
        <w:ind w:firstLine="480" w:firstLineChars="200"/>
        <w:jc w:val="left"/>
        <w:rPr>
          <w:rFonts w:ascii="宋体" w:hAnsi="宋体" w:eastAsia="宋体" w:cs="宋体"/>
          <w:kern w:val="0"/>
          <w:sz w:val="24"/>
        </w:rPr>
      </w:pPr>
      <w:r>
        <w:rPr>
          <w:rFonts w:hint="eastAsia" w:ascii="宋体" w:hAnsi="宋体" w:eastAsia="宋体" w:cs="宋体"/>
          <w:kern w:val="0"/>
          <w:sz w:val="24"/>
        </w:rPr>
        <w:t>合同生效的条件：双方法定代表人或授权代表签字并加盖单位公章后有效。</w:t>
      </w:r>
      <w:r>
        <w:rPr>
          <w:rFonts w:ascii="宋体" w:hAnsi="宋体" w:eastAsia="宋体" w:cs="宋体"/>
          <w:kern w:val="0"/>
          <w:sz w:val="24"/>
        </w:rPr>
        <w:t xml:space="preserve">   </w:t>
      </w:r>
    </w:p>
    <w:p w14:paraId="6C0D7CA6">
      <w:pPr>
        <w:autoSpaceDE w:val="0"/>
        <w:autoSpaceDN w:val="0"/>
        <w:adjustRightInd w:val="0"/>
        <w:spacing w:before="100" w:after="100" w:line="500" w:lineRule="exact"/>
        <w:ind w:right="-334" w:rightChars="-159"/>
        <w:jc w:val="left"/>
        <w:rPr>
          <w:rFonts w:ascii="宋体" w:hAnsi="宋体" w:eastAsia="宋体" w:cs="宋体"/>
          <w:b/>
          <w:bCs/>
          <w:kern w:val="0"/>
          <w:sz w:val="24"/>
          <w:szCs w:val="24"/>
          <w:lang w:val="zh-CN"/>
        </w:rPr>
      </w:pPr>
      <w:r>
        <w:rPr>
          <w:rFonts w:hint="eastAsia" w:ascii="宋体" w:hAnsi="宋体" w:eastAsia="宋体" w:cs="宋体"/>
          <w:b/>
          <w:bCs/>
          <w:kern w:val="0"/>
          <w:sz w:val="24"/>
          <w:szCs w:val="24"/>
        </w:rPr>
        <w:t xml:space="preserve">第二条 </w:t>
      </w:r>
      <w:r>
        <w:rPr>
          <w:rFonts w:hint="eastAsia" w:ascii="宋体" w:hAnsi="宋体" w:eastAsia="宋体" w:cs="宋体"/>
          <w:b/>
          <w:bCs/>
          <w:kern w:val="0"/>
          <w:sz w:val="24"/>
          <w:szCs w:val="24"/>
          <w:lang w:val="zh-CN"/>
        </w:rPr>
        <w:t>发包人的义务</w:t>
      </w:r>
    </w:p>
    <w:p w14:paraId="5AF0860C">
      <w:pPr>
        <w:widowControl/>
        <w:snapToGrid w:val="0"/>
        <w:spacing w:line="500" w:lineRule="exact"/>
        <w:ind w:firstLine="482" w:firstLineChars="200"/>
        <w:jc w:val="left"/>
        <w:rPr>
          <w:rFonts w:ascii="宋体" w:hAnsi="宋体" w:eastAsia="宋体" w:cs="宋体"/>
          <w:b/>
          <w:bCs/>
          <w:kern w:val="0"/>
          <w:sz w:val="24"/>
          <w:szCs w:val="24"/>
        </w:rPr>
      </w:pPr>
      <w:r>
        <w:rPr>
          <w:rFonts w:ascii="宋体" w:hAnsi="宋体" w:eastAsia="宋体" w:cs="宋体"/>
          <w:b/>
          <w:bCs/>
          <w:kern w:val="0"/>
          <w:sz w:val="24"/>
          <w:szCs w:val="24"/>
        </w:rPr>
        <w:t>2.</w:t>
      </w:r>
      <w:r>
        <w:rPr>
          <w:rFonts w:hint="eastAsia" w:ascii="宋体" w:hAnsi="宋体" w:eastAsia="宋体" w:cs="宋体"/>
          <w:b/>
          <w:bCs/>
          <w:kern w:val="0"/>
          <w:sz w:val="24"/>
          <w:szCs w:val="24"/>
        </w:rPr>
        <w:t>1</w:t>
      </w:r>
      <w:r>
        <w:rPr>
          <w:rFonts w:ascii="宋体" w:hAnsi="宋体" w:eastAsia="宋体" w:cs="宋体"/>
          <w:b/>
          <w:bCs/>
          <w:kern w:val="0"/>
          <w:sz w:val="24"/>
          <w:szCs w:val="24"/>
        </w:rPr>
        <w:t xml:space="preserve">  </w:t>
      </w:r>
      <w:r>
        <w:rPr>
          <w:rFonts w:hint="eastAsia" w:ascii="宋体" w:hAnsi="宋体" w:eastAsia="宋体" w:cs="宋体"/>
          <w:b/>
          <w:bCs/>
          <w:kern w:val="0"/>
          <w:sz w:val="24"/>
          <w:szCs w:val="24"/>
        </w:rPr>
        <w:t>提供施工场地</w:t>
      </w:r>
    </w:p>
    <w:p w14:paraId="78C72141">
      <w:pPr>
        <w:widowControl/>
        <w:snapToGrid w:val="0"/>
        <w:spacing w:line="500" w:lineRule="exact"/>
        <w:ind w:firstLine="420"/>
        <w:jc w:val="left"/>
        <w:rPr>
          <w:rFonts w:ascii="宋体" w:hAnsi="宋体" w:eastAsia="宋体" w:cs="宋体"/>
          <w:kern w:val="0"/>
          <w:sz w:val="24"/>
        </w:rPr>
      </w:pPr>
      <w:r>
        <w:rPr>
          <w:rFonts w:ascii="宋体" w:hAnsi="宋体" w:eastAsia="宋体" w:cs="宋体"/>
          <w:kern w:val="0"/>
          <w:sz w:val="24"/>
        </w:rPr>
        <w:t>2.</w:t>
      </w:r>
      <w:r>
        <w:rPr>
          <w:rFonts w:hint="eastAsia" w:ascii="宋体" w:hAnsi="宋体" w:eastAsia="宋体" w:cs="宋体"/>
          <w:kern w:val="0"/>
          <w:sz w:val="24"/>
        </w:rPr>
        <w:t>1</w:t>
      </w:r>
      <w:r>
        <w:rPr>
          <w:rFonts w:ascii="宋体" w:hAnsi="宋体" w:eastAsia="宋体" w:cs="宋体"/>
          <w:kern w:val="0"/>
          <w:sz w:val="24"/>
        </w:rPr>
        <w:t>.1</w:t>
      </w:r>
      <w:r>
        <w:rPr>
          <w:rFonts w:hint="eastAsia" w:ascii="宋体" w:hAnsi="宋体" w:eastAsia="宋体" w:cs="宋体"/>
          <w:kern w:val="0"/>
          <w:sz w:val="24"/>
        </w:rPr>
        <w:t>施工场地具备施工条件的要求及完成的时间：</w:t>
      </w:r>
      <w:r>
        <w:rPr>
          <w:rFonts w:hint="eastAsia" w:ascii="宋体" w:hAnsi="宋体" w:eastAsia="宋体" w:cs="宋体"/>
          <w:kern w:val="0"/>
          <w:sz w:val="24"/>
          <w:u w:val="single"/>
        </w:rPr>
        <w:t>已具备</w:t>
      </w:r>
      <w:r>
        <w:rPr>
          <w:rFonts w:hint="eastAsia" w:ascii="宋体" w:hAnsi="宋体" w:eastAsia="宋体" w:cs="宋体"/>
          <w:kern w:val="0"/>
          <w:sz w:val="24"/>
        </w:rPr>
        <w:t>（但可能存在交叉施工，交叉施工的影响由承包人自行考虑并纳入报价中）；施工场地与公共道路的通道开通时间和要求：</w:t>
      </w:r>
      <w:r>
        <w:rPr>
          <w:rFonts w:hint="eastAsia" w:ascii="宋体" w:hAnsi="宋体" w:eastAsia="宋体" w:cs="宋体"/>
          <w:kern w:val="0"/>
          <w:sz w:val="24"/>
          <w:u w:val="single"/>
        </w:rPr>
        <w:t>已完成</w:t>
      </w:r>
    </w:p>
    <w:p w14:paraId="10E1A9E3">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2.1.2将施工所需的水、电、电讯线路接至施工场地的时间、地点和供应的要求：</w:t>
      </w:r>
      <w:r>
        <w:rPr>
          <w:rFonts w:hint="eastAsia" w:ascii="宋体" w:hAnsi="宋体" w:eastAsia="宋体" w:cs="宋体"/>
          <w:kern w:val="0"/>
          <w:sz w:val="24"/>
          <w:u w:val="single"/>
        </w:rPr>
        <w:t>开工前提供水电接口一个，施工用水、用电由承包人自行在发包人提供的规范接口处搭接，并支付所产生的使用费（费用已含在合同价中）</w:t>
      </w:r>
      <w:r>
        <w:rPr>
          <w:rFonts w:hint="eastAsia" w:ascii="宋体" w:hAnsi="宋体" w:eastAsia="宋体" w:cs="宋体"/>
          <w:kern w:val="0"/>
          <w:sz w:val="24"/>
        </w:rPr>
        <w:t>；</w:t>
      </w:r>
      <w:r>
        <w:rPr>
          <w:rFonts w:ascii="宋体" w:hAnsi="宋体" w:eastAsia="宋体" w:cs="宋体"/>
          <w:kern w:val="0"/>
          <w:sz w:val="24"/>
        </w:rPr>
        <w:t xml:space="preserve"> </w:t>
      </w:r>
    </w:p>
    <w:p w14:paraId="401A81E5">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2.1</w:t>
      </w:r>
      <w:r>
        <w:rPr>
          <w:rFonts w:ascii="宋体" w:hAnsi="宋体" w:eastAsia="宋体" w:cs="宋体"/>
          <w:kern w:val="0"/>
          <w:sz w:val="24"/>
        </w:rPr>
        <w:t>.</w:t>
      </w:r>
      <w:r>
        <w:rPr>
          <w:rFonts w:hint="eastAsia" w:ascii="宋体" w:hAnsi="宋体" w:eastAsia="宋体" w:cs="宋体"/>
          <w:kern w:val="0"/>
          <w:sz w:val="24"/>
        </w:rPr>
        <w:t>3</w:t>
      </w:r>
      <w:r>
        <w:rPr>
          <w:rFonts w:hint="eastAsia" w:ascii="宋体" w:hAnsi="宋体" w:eastAsia="宋体" w:cs="宋体"/>
          <w:b/>
          <w:bCs/>
          <w:kern w:val="0"/>
          <w:sz w:val="24"/>
        </w:rPr>
        <w:t>承包人通过自行踏勘、查询落实工程地质和地下管线资料，并对资料的真实准确性负责</w:t>
      </w:r>
      <w:r>
        <w:rPr>
          <w:rFonts w:hint="eastAsia" w:ascii="宋体" w:hAnsi="宋体" w:eastAsia="宋体" w:cs="宋体"/>
          <w:kern w:val="0"/>
          <w:sz w:val="24"/>
        </w:rPr>
        <w:t>；</w:t>
      </w:r>
      <w:r>
        <w:rPr>
          <w:rFonts w:ascii="宋体" w:hAnsi="宋体" w:eastAsia="宋体" w:cs="宋体"/>
          <w:kern w:val="0"/>
          <w:sz w:val="24"/>
        </w:rPr>
        <w:t xml:space="preserve"> </w:t>
      </w:r>
    </w:p>
    <w:p w14:paraId="43D6D016">
      <w:pPr>
        <w:widowControl/>
        <w:snapToGrid w:val="0"/>
        <w:spacing w:line="500" w:lineRule="exact"/>
        <w:ind w:firstLine="420"/>
        <w:jc w:val="left"/>
        <w:rPr>
          <w:rFonts w:ascii="宋体" w:hAnsi="宋体" w:eastAsia="宋体" w:cs="宋体"/>
          <w:kern w:val="0"/>
          <w:sz w:val="24"/>
          <w:szCs w:val="24"/>
        </w:rPr>
      </w:pPr>
      <w:r>
        <w:rPr>
          <w:rFonts w:hint="eastAsia" w:ascii="宋体" w:hAnsi="宋体" w:eastAsia="宋体" w:cs="宋体"/>
          <w:kern w:val="0"/>
          <w:sz w:val="24"/>
          <w:szCs w:val="24"/>
        </w:rPr>
        <w:t>2.1.4水准点与座标控制点交验要求：</w:t>
      </w:r>
      <w:r>
        <w:rPr>
          <w:rFonts w:hint="eastAsia" w:ascii="宋体" w:hAnsi="宋体" w:eastAsia="宋体" w:cs="宋体"/>
          <w:kern w:val="0"/>
          <w:sz w:val="24"/>
          <w:szCs w:val="24"/>
          <w:u w:val="single"/>
        </w:rPr>
        <w:t>按规定提交</w:t>
      </w:r>
      <w:r>
        <w:rPr>
          <w:rFonts w:hint="eastAsia" w:ascii="宋体" w:hAnsi="宋体" w:eastAsia="宋体" w:cs="宋体"/>
          <w:kern w:val="0"/>
          <w:sz w:val="24"/>
          <w:szCs w:val="24"/>
        </w:rPr>
        <w:t>；</w:t>
      </w:r>
    </w:p>
    <w:p w14:paraId="380E323E">
      <w:pPr>
        <w:widowControl/>
        <w:snapToGrid w:val="0"/>
        <w:spacing w:line="500" w:lineRule="exact"/>
        <w:ind w:firstLine="420"/>
        <w:jc w:val="left"/>
        <w:rPr>
          <w:rFonts w:ascii="宋体" w:hAnsi="宋体" w:eastAsia="宋体" w:cs="宋体"/>
          <w:kern w:val="0"/>
          <w:sz w:val="24"/>
          <w:szCs w:val="24"/>
          <w:u w:val="single"/>
        </w:rPr>
      </w:pPr>
      <w:r>
        <w:rPr>
          <w:rFonts w:ascii="宋体" w:hAnsi="宋体" w:eastAsia="宋体" w:cs="宋体"/>
          <w:kern w:val="0"/>
          <w:sz w:val="24"/>
          <w:szCs w:val="24"/>
        </w:rPr>
        <w:t>2.</w:t>
      </w:r>
      <w:r>
        <w:rPr>
          <w:rFonts w:hint="eastAsia" w:ascii="宋体" w:hAnsi="宋体" w:eastAsia="宋体" w:cs="宋体"/>
          <w:kern w:val="0"/>
          <w:sz w:val="24"/>
          <w:szCs w:val="24"/>
        </w:rPr>
        <w:t>1.5协调处理红线范围内的地下管线和建筑物、构筑物</w:t>
      </w:r>
      <w:r>
        <w:rPr>
          <w:rFonts w:ascii="宋体" w:hAnsi="宋体" w:eastAsia="宋体" w:cs="宋体"/>
          <w:kern w:val="0"/>
          <w:sz w:val="24"/>
          <w:szCs w:val="24"/>
        </w:rPr>
        <w:t>(</w:t>
      </w:r>
      <w:r>
        <w:rPr>
          <w:rFonts w:hint="eastAsia" w:ascii="宋体" w:hAnsi="宋体" w:eastAsia="宋体" w:cs="宋体"/>
          <w:kern w:val="0"/>
          <w:sz w:val="24"/>
          <w:szCs w:val="24"/>
        </w:rPr>
        <w:t>含文物保护建筑</w:t>
      </w:r>
      <w:r>
        <w:rPr>
          <w:rFonts w:ascii="宋体" w:hAnsi="宋体" w:eastAsia="宋体" w:cs="宋体"/>
          <w:kern w:val="0"/>
          <w:sz w:val="24"/>
          <w:szCs w:val="24"/>
        </w:rPr>
        <w:t>)</w:t>
      </w:r>
      <w:r>
        <w:rPr>
          <w:rFonts w:hint="eastAsia" w:ascii="宋体" w:hAnsi="宋体" w:eastAsia="宋体" w:cs="宋体"/>
          <w:kern w:val="0"/>
          <w:sz w:val="24"/>
          <w:szCs w:val="24"/>
        </w:rPr>
        <w:t>、古树名木的保护工作：</w:t>
      </w:r>
      <w:r>
        <w:rPr>
          <w:rFonts w:hint="eastAsia" w:ascii="宋体" w:hAnsi="宋体" w:eastAsia="宋体" w:cs="宋体"/>
          <w:kern w:val="0"/>
          <w:sz w:val="24"/>
          <w:szCs w:val="24"/>
          <w:u w:val="single"/>
        </w:rPr>
        <w:t>由承包人负责保护和承担现有资料中体现出的相应保护费用（按发包人的要求进行保护、费用已含在合同价中）。</w:t>
      </w:r>
    </w:p>
    <w:p w14:paraId="71493686">
      <w:pPr>
        <w:widowControl/>
        <w:snapToGrid w:val="0"/>
        <w:spacing w:line="500" w:lineRule="exact"/>
        <w:jc w:val="left"/>
        <w:rPr>
          <w:rFonts w:ascii="宋体" w:hAnsi="宋体" w:eastAsia="宋体" w:cs="宋体"/>
          <w:b/>
          <w:bCs/>
          <w:kern w:val="0"/>
          <w:sz w:val="24"/>
          <w:szCs w:val="24"/>
        </w:rPr>
      </w:pPr>
      <w:r>
        <w:rPr>
          <w:rFonts w:ascii="宋体" w:hAnsi="宋体" w:eastAsia="宋体" w:cs="宋体"/>
          <w:b/>
          <w:bCs/>
          <w:kern w:val="0"/>
          <w:sz w:val="24"/>
          <w:szCs w:val="24"/>
        </w:rPr>
        <w:t>2.</w:t>
      </w:r>
      <w:r>
        <w:rPr>
          <w:rFonts w:hint="eastAsia" w:ascii="宋体" w:hAnsi="宋体" w:eastAsia="宋体" w:cs="宋体"/>
          <w:b/>
          <w:bCs/>
          <w:kern w:val="0"/>
          <w:sz w:val="24"/>
          <w:szCs w:val="24"/>
        </w:rPr>
        <w:t>2组织设计交底</w:t>
      </w:r>
    </w:p>
    <w:p w14:paraId="12071CB4">
      <w:pPr>
        <w:widowControl/>
        <w:snapToGrid w:val="0"/>
        <w:spacing w:line="500" w:lineRule="exact"/>
        <w:ind w:firstLine="420"/>
        <w:jc w:val="left"/>
        <w:rPr>
          <w:rFonts w:ascii="宋体" w:hAnsi="宋体" w:eastAsia="宋体" w:cs="宋体"/>
          <w:kern w:val="0"/>
          <w:sz w:val="24"/>
          <w:szCs w:val="24"/>
        </w:rPr>
      </w:pPr>
      <w:r>
        <w:rPr>
          <w:rFonts w:hint="eastAsia" w:ascii="宋体" w:hAnsi="宋体" w:eastAsia="宋体" w:cs="宋体"/>
          <w:kern w:val="0"/>
          <w:sz w:val="24"/>
          <w:szCs w:val="24"/>
        </w:rPr>
        <w:t>图纸会审和设计交底时间：</w:t>
      </w:r>
      <w:r>
        <w:rPr>
          <w:rFonts w:hint="eastAsia" w:ascii="宋体" w:hAnsi="宋体" w:eastAsia="宋体" w:cs="宋体"/>
          <w:kern w:val="0"/>
          <w:sz w:val="24"/>
          <w:szCs w:val="24"/>
          <w:u w:val="single"/>
        </w:rPr>
        <w:t>提交施工图后5日内。</w:t>
      </w:r>
    </w:p>
    <w:p w14:paraId="5700CE75">
      <w:pPr>
        <w:widowControl/>
        <w:snapToGrid w:val="0"/>
        <w:spacing w:line="500" w:lineRule="exact"/>
        <w:jc w:val="left"/>
        <w:rPr>
          <w:rFonts w:ascii="宋体" w:hAnsi="宋体" w:eastAsia="宋体" w:cs="宋体"/>
          <w:b/>
          <w:bCs/>
          <w:kern w:val="0"/>
          <w:sz w:val="24"/>
          <w:szCs w:val="24"/>
        </w:rPr>
      </w:pPr>
      <w:r>
        <w:rPr>
          <w:rFonts w:ascii="宋体" w:hAnsi="宋体" w:eastAsia="宋体" w:cs="宋体"/>
          <w:b/>
          <w:bCs/>
          <w:kern w:val="0"/>
          <w:sz w:val="24"/>
          <w:szCs w:val="24"/>
        </w:rPr>
        <w:t>2.</w:t>
      </w:r>
      <w:r>
        <w:rPr>
          <w:rFonts w:hint="eastAsia" w:ascii="宋体" w:hAnsi="宋体" w:eastAsia="宋体" w:cs="宋体"/>
          <w:b/>
          <w:bCs/>
          <w:kern w:val="0"/>
          <w:sz w:val="24"/>
          <w:szCs w:val="24"/>
        </w:rPr>
        <w:t>3</w:t>
      </w:r>
      <w:r>
        <w:rPr>
          <w:rFonts w:ascii="宋体" w:hAnsi="宋体" w:eastAsia="宋体" w:cs="宋体"/>
          <w:b/>
          <w:bCs/>
          <w:kern w:val="0"/>
          <w:sz w:val="24"/>
          <w:szCs w:val="24"/>
        </w:rPr>
        <w:t xml:space="preserve"> </w:t>
      </w:r>
      <w:r>
        <w:rPr>
          <w:rFonts w:hint="eastAsia" w:ascii="宋体" w:hAnsi="宋体" w:eastAsia="宋体" w:cs="宋体"/>
          <w:b/>
          <w:bCs/>
          <w:kern w:val="0"/>
          <w:sz w:val="24"/>
          <w:szCs w:val="24"/>
        </w:rPr>
        <w:t>其他义务</w:t>
      </w:r>
    </w:p>
    <w:p w14:paraId="59FA9677">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2.3.1双方约定发包人应做的其他工作：</w:t>
      </w:r>
      <w:r>
        <w:rPr>
          <w:rFonts w:hint="eastAsia" w:ascii="宋体" w:hAnsi="宋体" w:eastAsia="宋体" w:cs="宋体"/>
          <w:kern w:val="0"/>
          <w:sz w:val="24"/>
          <w:u w:val="single"/>
        </w:rPr>
        <w:t>协助承包人处理周边关系及环境保护事宜</w:t>
      </w:r>
      <w:r>
        <w:rPr>
          <w:rFonts w:hint="eastAsia" w:ascii="宋体" w:hAnsi="宋体" w:eastAsia="宋体" w:cs="宋体"/>
          <w:kern w:val="0"/>
          <w:sz w:val="24"/>
        </w:rPr>
        <w:t>。</w:t>
      </w:r>
    </w:p>
    <w:p w14:paraId="3099EC64">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2.3.2发包人未能履行</w:t>
      </w:r>
      <w:r>
        <w:rPr>
          <w:rFonts w:hint="eastAsia" w:ascii="宋体" w:hAnsi="宋体" w:eastAsia="宋体" w:cs="宋体"/>
          <w:b/>
          <w:bCs/>
          <w:kern w:val="0"/>
          <w:sz w:val="24"/>
          <w:u w:val="single"/>
        </w:rPr>
        <w:t>第二条</w:t>
      </w:r>
      <w:r>
        <w:rPr>
          <w:rFonts w:hint="eastAsia" w:ascii="宋体" w:hAnsi="宋体" w:eastAsia="宋体" w:cs="宋体"/>
          <w:kern w:val="0"/>
          <w:sz w:val="24"/>
        </w:rPr>
        <w:t>各项义务，导致工期延误，相应顺延延误的工期。</w:t>
      </w:r>
    </w:p>
    <w:p w14:paraId="10EF0F92">
      <w:pPr>
        <w:widowControl/>
        <w:snapToGrid w:val="0"/>
        <w:spacing w:line="500" w:lineRule="exact"/>
        <w:jc w:val="left"/>
        <w:rPr>
          <w:rFonts w:ascii="宋体" w:hAnsi="宋体" w:eastAsia="宋体" w:cs="宋体"/>
          <w:b/>
          <w:bCs/>
          <w:kern w:val="0"/>
          <w:sz w:val="23"/>
          <w:szCs w:val="23"/>
        </w:rPr>
      </w:pPr>
      <w:r>
        <w:rPr>
          <w:rFonts w:ascii="宋体" w:hAnsi="宋体" w:eastAsia="宋体" w:cs="宋体"/>
          <w:b/>
          <w:bCs/>
          <w:kern w:val="0"/>
          <w:sz w:val="23"/>
          <w:szCs w:val="23"/>
        </w:rPr>
        <w:t>2.</w:t>
      </w:r>
      <w:r>
        <w:rPr>
          <w:rFonts w:hint="eastAsia" w:ascii="宋体" w:hAnsi="宋体" w:eastAsia="宋体" w:cs="宋体"/>
          <w:b/>
          <w:bCs/>
          <w:kern w:val="0"/>
          <w:sz w:val="23"/>
          <w:szCs w:val="23"/>
        </w:rPr>
        <w:t>4</w:t>
      </w:r>
      <w:r>
        <w:rPr>
          <w:rFonts w:ascii="宋体" w:hAnsi="宋体" w:eastAsia="宋体" w:cs="宋体"/>
          <w:b/>
          <w:bCs/>
          <w:kern w:val="0"/>
          <w:sz w:val="23"/>
          <w:szCs w:val="23"/>
        </w:rPr>
        <w:t xml:space="preserve"> </w:t>
      </w:r>
      <w:r>
        <w:rPr>
          <w:rFonts w:hint="eastAsia" w:ascii="宋体" w:hAnsi="宋体" w:eastAsia="宋体" w:cs="宋体"/>
          <w:b/>
          <w:bCs/>
          <w:kern w:val="0"/>
          <w:sz w:val="23"/>
          <w:szCs w:val="23"/>
        </w:rPr>
        <w:t>发包人委派的发包人代表：</w:t>
      </w:r>
    </w:p>
    <w:p w14:paraId="6C213E09">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职权：负责工程质量、进度、投资控制，与各方进行联络、协调，召集会议；解决工程中出现的问题；工程资料管理；执行权力范围内的签证权等。当承包人现场负责人、技术负责人以及工人在工程管理方面和施工方面，不能满足工程施工要求时，发包人代表可以建议更换人选；对发包人负责。</w:t>
      </w:r>
    </w:p>
    <w:p w14:paraId="6D2E3CE3">
      <w:pPr>
        <w:autoSpaceDE w:val="0"/>
        <w:autoSpaceDN w:val="0"/>
        <w:adjustRightInd w:val="0"/>
        <w:spacing w:before="100" w:after="100" w:line="500" w:lineRule="exact"/>
        <w:ind w:left="360" w:right="-334" w:rightChars="-159"/>
        <w:jc w:val="left"/>
        <w:rPr>
          <w:rFonts w:ascii="宋体" w:hAnsi="宋体" w:eastAsia="宋体" w:cs="宋体"/>
          <w:b/>
          <w:bCs/>
          <w:kern w:val="0"/>
          <w:sz w:val="24"/>
          <w:szCs w:val="24"/>
          <w:lang w:val="zh-CN"/>
        </w:rPr>
      </w:pPr>
      <w:r>
        <w:rPr>
          <w:rFonts w:hint="eastAsia" w:ascii="宋体" w:hAnsi="宋体" w:eastAsia="宋体" w:cs="宋体"/>
          <w:b/>
          <w:bCs/>
          <w:kern w:val="0"/>
          <w:sz w:val="24"/>
          <w:szCs w:val="24"/>
        </w:rPr>
        <w:t xml:space="preserve">第三条 </w:t>
      </w:r>
      <w:r>
        <w:rPr>
          <w:rFonts w:hint="eastAsia" w:ascii="宋体" w:hAnsi="宋体" w:eastAsia="宋体" w:cs="宋体"/>
          <w:b/>
          <w:bCs/>
          <w:kern w:val="0"/>
          <w:sz w:val="24"/>
          <w:szCs w:val="24"/>
          <w:lang w:val="zh-CN"/>
        </w:rPr>
        <w:t>承包人的义务</w:t>
      </w:r>
    </w:p>
    <w:p w14:paraId="0B802464">
      <w:pPr>
        <w:widowControl/>
        <w:snapToGrid w:val="0"/>
        <w:spacing w:line="500" w:lineRule="exact"/>
        <w:ind w:firstLine="420"/>
        <w:jc w:val="left"/>
        <w:rPr>
          <w:rFonts w:ascii="宋体" w:hAnsi="宋体" w:eastAsia="宋体" w:cs="宋体"/>
          <w:kern w:val="0"/>
          <w:sz w:val="24"/>
          <w:u w:val="single"/>
        </w:rPr>
      </w:pPr>
      <w:r>
        <w:rPr>
          <w:rFonts w:hint="eastAsia" w:ascii="宋体" w:hAnsi="宋体" w:eastAsia="宋体" w:cs="宋体"/>
          <w:kern w:val="0"/>
          <w:sz w:val="24"/>
        </w:rPr>
        <w:t>3</w:t>
      </w:r>
      <w:r>
        <w:rPr>
          <w:rFonts w:ascii="宋体" w:hAnsi="宋体" w:eastAsia="宋体" w:cs="宋体"/>
          <w:kern w:val="0"/>
          <w:sz w:val="24"/>
        </w:rPr>
        <w:t>.</w:t>
      </w:r>
      <w:r>
        <w:rPr>
          <w:rFonts w:hint="eastAsia" w:ascii="宋体" w:hAnsi="宋体" w:eastAsia="宋体" w:cs="宋体"/>
          <w:kern w:val="0"/>
          <w:sz w:val="24"/>
        </w:rPr>
        <w:t>1</w:t>
      </w:r>
      <w:r>
        <w:rPr>
          <w:rFonts w:ascii="宋体" w:hAnsi="宋体" w:eastAsia="宋体" w:cs="宋体"/>
          <w:kern w:val="0"/>
          <w:sz w:val="24"/>
        </w:rPr>
        <w:t xml:space="preserve"> </w:t>
      </w:r>
      <w:r>
        <w:rPr>
          <w:rFonts w:hint="eastAsia" w:ascii="宋体" w:hAnsi="宋体" w:eastAsia="宋体" w:cs="宋体"/>
          <w:kern w:val="0"/>
          <w:sz w:val="24"/>
        </w:rPr>
        <w:t>承包人应按合同约定以及发包人作出的指示，实施、完成全部工程，并修补工程中的任何缺陷。承包人应提供为完成合同工作所需的劳务、材料、施工设备、工程设备和其他物品，并负责临时设施的设计、建造、运行、维护、管理和拆除。</w:t>
      </w:r>
    </w:p>
    <w:p w14:paraId="27DED6EE">
      <w:pPr>
        <w:widowControl/>
        <w:snapToGrid w:val="0"/>
        <w:spacing w:line="500" w:lineRule="exact"/>
        <w:ind w:firstLine="420"/>
        <w:jc w:val="left"/>
        <w:rPr>
          <w:rFonts w:ascii="宋体" w:hAnsi="宋体" w:eastAsia="宋体" w:cs="宋体"/>
          <w:kern w:val="0"/>
          <w:sz w:val="24"/>
          <w:u w:val="single"/>
        </w:rPr>
      </w:pPr>
      <w:r>
        <w:rPr>
          <w:rFonts w:ascii="宋体" w:hAnsi="宋体" w:eastAsia="宋体" w:cs="宋体"/>
          <w:kern w:val="0"/>
          <w:sz w:val="24"/>
        </w:rPr>
        <w:t>(</w:t>
      </w:r>
      <w:r>
        <w:rPr>
          <w:rFonts w:hint="eastAsia" w:ascii="宋体" w:hAnsi="宋体" w:eastAsia="宋体" w:cs="宋体"/>
          <w:kern w:val="0"/>
          <w:sz w:val="24"/>
        </w:rPr>
        <w:t>1</w:t>
      </w:r>
      <w:r>
        <w:rPr>
          <w:rFonts w:ascii="宋体" w:hAnsi="宋体" w:eastAsia="宋体" w:cs="宋体"/>
          <w:kern w:val="0"/>
          <w:sz w:val="24"/>
        </w:rPr>
        <w:t>)</w:t>
      </w:r>
      <w:r>
        <w:rPr>
          <w:rFonts w:hint="eastAsia" w:ascii="宋体" w:hAnsi="宋体" w:eastAsia="宋体" w:cs="宋体"/>
          <w:kern w:val="0"/>
          <w:sz w:val="24"/>
        </w:rPr>
        <w:t>承担施工安全保卫、环境保护工作及非夜间照明的责任和要求：</w:t>
      </w:r>
      <w:r>
        <w:rPr>
          <w:rFonts w:hint="eastAsia" w:ascii="宋体" w:hAnsi="宋体" w:eastAsia="宋体" w:cs="宋体"/>
          <w:kern w:val="0"/>
          <w:sz w:val="24"/>
          <w:u w:val="single"/>
        </w:rPr>
        <w:t>由承包人按相关规定执行，费用自理（费用已含在合同价中）。</w:t>
      </w:r>
    </w:p>
    <w:p w14:paraId="36FEAB20">
      <w:pPr>
        <w:widowControl/>
        <w:snapToGrid w:val="0"/>
        <w:spacing w:line="500" w:lineRule="exact"/>
        <w:ind w:firstLine="420"/>
        <w:jc w:val="left"/>
        <w:rPr>
          <w:rFonts w:ascii="宋体" w:hAnsi="宋体" w:eastAsia="宋体" w:cs="宋体"/>
          <w:kern w:val="0"/>
          <w:sz w:val="24"/>
          <w:u w:val="single"/>
        </w:rPr>
      </w:pPr>
      <w:r>
        <w:rPr>
          <w:rFonts w:ascii="宋体" w:hAnsi="宋体" w:eastAsia="宋体" w:cs="宋体"/>
          <w:kern w:val="0"/>
          <w:sz w:val="24"/>
        </w:rPr>
        <w:t>(</w:t>
      </w:r>
      <w:r>
        <w:rPr>
          <w:rFonts w:hint="eastAsia" w:ascii="宋体" w:hAnsi="宋体" w:eastAsia="宋体" w:cs="宋体"/>
          <w:kern w:val="0"/>
          <w:sz w:val="24"/>
        </w:rPr>
        <w:t>2</w:t>
      </w:r>
      <w:r>
        <w:rPr>
          <w:rFonts w:ascii="宋体" w:hAnsi="宋体" w:eastAsia="宋体" w:cs="宋体"/>
          <w:kern w:val="0"/>
          <w:sz w:val="24"/>
        </w:rPr>
        <w:t>)</w:t>
      </w:r>
      <w:r>
        <w:rPr>
          <w:rFonts w:hint="eastAsia" w:ascii="宋体" w:hAnsi="宋体" w:eastAsia="宋体" w:cs="宋体"/>
          <w:kern w:val="0"/>
          <w:sz w:val="24"/>
        </w:rPr>
        <w:t>向发包人提供的办公和生活房屋及设施的要求：</w:t>
      </w:r>
      <w:r>
        <w:rPr>
          <w:rFonts w:ascii="宋体" w:hAnsi="宋体" w:eastAsia="宋体" w:cs="宋体"/>
          <w:kern w:val="0"/>
          <w:sz w:val="24"/>
          <w:u w:val="single"/>
        </w:rPr>
        <w:t xml:space="preserve"> </w:t>
      </w:r>
      <w:r>
        <w:rPr>
          <w:rFonts w:hint="eastAsia" w:ascii="宋体" w:hAnsi="宋体" w:eastAsia="宋体" w:cs="宋体"/>
          <w:kern w:val="0"/>
          <w:sz w:val="24"/>
          <w:u w:val="single"/>
        </w:rPr>
        <w:t>需给发包人提供现场办公场地</w:t>
      </w:r>
      <w:r>
        <w:rPr>
          <w:rFonts w:ascii="宋体" w:hAnsi="宋体" w:eastAsia="宋体" w:cs="宋体"/>
          <w:kern w:val="0"/>
          <w:sz w:val="24"/>
          <w:u w:val="single"/>
        </w:rPr>
        <w:t xml:space="preserve"> </w:t>
      </w:r>
      <w:r>
        <w:rPr>
          <w:rFonts w:hint="eastAsia" w:ascii="宋体" w:hAnsi="宋体" w:eastAsia="宋体" w:cs="宋体"/>
          <w:kern w:val="0"/>
          <w:sz w:val="24"/>
          <w:u w:val="single"/>
        </w:rPr>
        <w:t>（费用已含在合同价中）</w:t>
      </w:r>
      <w:r>
        <w:rPr>
          <w:rFonts w:ascii="宋体" w:hAnsi="宋体" w:eastAsia="宋体" w:cs="宋体"/>
          <w:kern w:val="0"/>
          <w:sz w:val="24"/>
          <w:u w:val="single"/>
        </w:rPr>
        <w:t xml:space="preserve"> </w:t>
      </w:r>
      <w:r>
        <w:rPr>
          <w:rFonts w:hint="eastAsia" w:ascii="宋体" w:hAnsi="宋体" w:eastAsia="宋体" w:cs="宋体"/>
          <w:kern w:val="0"/>
          <w:sz w:val="24"/>
          <w:u w:val="single"/>
        </w:rPr>
        <w:t>。</w:t>
      </w:r>
    </w:p>
    <w:p w14:paraId="5B08FB61">
      <w:pPr>
        <w:widowControl/>
        <w:snapToGrid w:val="0"/>
        <w:spacing w:line="500" w:lineRule="exact"/>
        <w:ind w:firstLine="420"/>
        <w:jc w:val="left"/>
        <w:rPr>
          <w:rFonts w:ascii="宋体" w:hAnsi="宋体" w:eastAsia="宋体" w:cs="宋体"/>
          <w:kern w:val="0"/>
          <w:sz w:val="24"/>
          <w:u w:val="single"/>
        </w:rPr>
      </w:pPr>
      <w:r>
        <w:rPr>
          <w:rFonts w:ascii="宋体" w:hAnsi="宋体" w:eastAsia="宋体" w:cs="宋体"/>
          <w:kern w:val="0"/>
          <w:sz w:val="24"/>
        </w:rPr>
        <w:t>(</w:t>
      </w:r>
      <w:r>
        <w:rPr>
          <w:rFonts w:hint="eastAsia" w:ascii="宋体" w:hAnsi="宋体" w:eastAsia="宋体" w:cs="宋体"/>
          <w:kern w:val="0"/>
          <w:sz w:val="24"/>
        </w:rPr>
        <w:t>3</w:t>
      </w:r>
      <w:r>
        <w:rPr>
          <w:rFonts w:ascii="宋体" w:hAnsi="宋体" w:eastAsia="宋体" w:cs="宋体"/>
          <w:kern w:val="0"/>
          <w:sz w:val="24"/>
        </w:rPr>
        <w:t>)</w:t>
      </w:r>
      <w:r>
        <w:rPr>
          <w:rFonts w:hint="eastAsia" w:ascii="宋体" w:hAnsi="宋体" w:eastAsia="宋体" w:cs="宋体"/>
          <w:kern w:val="0"/>
          <w:sz w:val="24"/>
        </w:rPr>
        <w:t>需承包人办理的有关施工场地交通、环卫和施工噪音管理等手续：</w:t>
      </w:r>
      <w:r>
        <w:rPr>
          <w:rFonts w:hint="eastAsia" w:ascii="宋体" w:hAnsi="宋体" w:eastAsia="宋体" w:cs="宋体"/>
          <w:kern w:val="0"/>
          <w:sz w:val="24"/>
          <w:u w:val="single"/>
        </w:rPr>
        <w:t>由承包人负责办理相关手续，费用由承包人自理（费用已含在合同价中）。</w:t>
      </w:r>
    </w:p>
    <w:p w14:paraId="4A12271E">
      <w:pPr>
        <w:widowControl/>
        <w:snapToGrid w:val="0"/>
        <w:spacing w:line="500" w:lineRule="exact"/>
        <w:ind w:firstLine="420"/>
        <w:jc w:val="left"/>
        <w:rPr>
          <w:rFonts w:ascii="宋体" w:hAnsi="宋体" w:eastAsia="宋体" w:cs="Times New Roman"/>
          <w:kern w:val="0"/>
          <w:sz w:val="24"/>
        </w:rPr>
      </w:pPr>
      <w:r>
        <w:rPr>
          <w:rFonts w:ascii="宋体" w:hAnsi="宋体" w:eastAsia="宋体" w:cs="宋体"/>
          <w:kern w:val="0"/>
          <w:sz w:val="24"/>
        </w:rPr>
        <w:t>(</w:t>
      </w:r>
      <w:r>
        <w:rPr>
          <w:rFonts w:hint="eastAsia" w:ascii="宋体" w:hAnsi="宋体" w:eastAsia="宋体" w:cs="宋体"/>
          <w:kern w:val="0"/>
          <w:sz w:val="24"/>
        </w:rPr>
        <w:t>4</w:t>
      </w:r>
      <w:r>
        <w:rPr>
          <w:rFonts w:ascii="宋体" w:hAnsi="宋体" w:eastAsia="宋体" w:cs="宋体"/>
          <w:kern w:val="0"/>
          <w:sz w:val="24"/>
        </w:rPr>
        <w:t>)</w:t>
      </w:r>
      <w:r>
        <w:rPr>
          <w:rFonts w:hint="eastAsia" w:ascii="宋体" w:hAnsi="宋体" w:eastAsia="宋体" w:cs="宋体"/>
          <w:kern w:val="0"/>
          <w:sz w:val="24"/>
        </w:rPr>
        <w:t>已完工程成品保护的特殊要求及费用承担：</w:t>
      </w:r>
      <w:r>
        <w:rPr>
          <w:rFonts w:hint="eastAsia" w:ascii="宋体" w:hAnsi="宋体" w:eastAsia="宋体" w:cs="宋体"/>
          <w:kern w:val="0"/>
          <w:sz w:val="24"/>
          <w:u w:val="single"/>
        </w:rPr>
        <w:t>在竣工验收并正式移交之前由承包人负责并承担所有费用（费用已含在合同价中）。</w:t>
      </w:r>
    </w:p>
    <w:p w14:paraId="7EBAB765">
      <w:pPr>
        <w:widowControl/>
        <w:snapToGrid w:val="0"/>
        <w:spacing w:line="500" w:lineRule="exact"/>
        <w:ind w:firstLine="420"/>
        <w:jc w:val="left"/>
        <w:rPr>
          <w:rFonts w:ascii="宋体" w:hAnsi="宋体" w:eastAsia="宋体" w:cs="宋体"/>
          <w:kern w:val="0"/>
          <w:sz w:val="24"/>
        </w:rPr>
      </w:pPr>
      <w:r>
        <w:rPr>
          <w:rFonts w:ascii="宋体" w:hAnsi="宋体" w:eastAsia="宋体" w:cs="宋体"/>
          <w:kern w:val="0"/>
          <w:sz w:val="24"/>
        </w:rPr>
        <w:t>(</w:t>
      </w:r>
      <w:r>
        <w:rPr>
          <w:rFonts w:hint="eastAsia" w:ascii="宋体" w:hAnsi="宋体" w:eastAsia="宋体" w:cs="宋体"/>
          <w:kern w:val="0"/>
          <w:sz w:val="24"/>
        </w:rPr>
        <w:t>5</w:t>
      </w:r>
      <w:r>
        <w:rPr>
          <w:rFonts w:ascii="宋体" w:hAnsi="宋体" w:eastAsia="宋体" w:cs="宋体"/>
          <w:kern w:val="0"/>
          <w:sz w:val="24"/>
        </w:rPr>
        <w:t>)</w:t>
      </w:r>
      <w:r>
        <w:rPr>
          <w:rFonts w:hint="eastAsia" w:ascii="宋体" w:hAnsi="宋体" w:eastAsia="宋体" w:cs="宋体"/>
          <w:kern w:val="0"/>
          <w:sz w:val="24"/>
        </w:rPr>
        <w:t>施工场地清洁卫生的要求：</w:t>
      </w:r>
      <w:r>
        <w:rPr>
          <w:rFonts w:hint="eastAsia" w:ascii="宋体" w:hAnsi="宋体" w:eastAsia="宋体" w:cs="宋体"/>
          <w:kern w:val="0"/>
          <w:sz w:val="24"/>
          <w:u w:val="single"/>
        </w:rPr>
        <w:t>按《建设工程施工现场管理规定》、《重庆市建筑工地文明施工标准》及有关规定执行（费用已含在合同价中）。</w:t>
      </w:r>
    </w:p>
    <w:p w14:paraId="2808886C">
      <w:pPr>
        <w:widowControl/>
        <w:snapToGrid w:val="0"/>
        <w:spacing w:line="500" w:lineRule="exact"/>
        <w:ind w:firstLine="420"/>
        <w:jc w:val="left"/>
        <w:rPr>
          <w:rFonts w:ascii="宋体" w:hAnsi="宋体" w:eastAsia="宋体" w:cs="宋体"/>
          <w:kern w:val="0"/>
          <w:sz w:val="24"/>
        </w:rPr>
      </w:pPr>
      <w:r>
        <w:rPr>
          <w:rFonts w:ascii="宋体" w:hAnsi="宋体" w:eastAsia="宋体" w:cs="宋体"/>
          <w:kern w:val="0"/>
          <w:sz w:val="24"/>
        </w:rPr>
        <w:t>(</w:t>
      </w:r>
      <w:r>
        <w:rPr>
          <w:rFonts w:hint="eastAsia" w:ascii="宋体" w:hAnsi="宋体" w:eastAsia="宋体" w:cs="宋体"/>
          <w:kern w:val="0"/>
          <w:sz w:val="24"/>
        </w:rPr>
        <w:t>6</w:t>
      </w:r>
      <w:r>
        <w:rPr>
          <w:rFonts w:ascii="宋体" w:hAnsi="宋体" w:eastAsia="宋体" w:cs="宋体"/>
          <w:kern w:val="0"/>
          <w:sz w:val="24"/>
        </w:rPr>
        <w:t>)</w:t>
      </w:r>
      <w:r>
        <w:rPr>
          <w:rFonts w:hint="eastAsia" w:ascii="宋体" w:hAnsi="宋体" w:eastAsia="宋体" w:cs="宋体"/>
          <w:kern w:val="0"/>
          <w:sz w:val="24"/>
        </w:rPr>
        <w:t>双方约定承包人应做的其他工作：</w:t>
      </w:r>
      <w:r>
        <w:rPr>
          <w:rFonts w:hint="eastAsia" w:ascii="宋体" w:hAnsi="宋体" w:eastAsia="宋体" w:cs="宋体"/>
          <w:kern w:val="0"/>
          <w:sz w:val="24"/>
          <w:u w:val="single"/>
        </w:rPr>
        <w:t>承包人负责与施工中所涉及的市政、交通、供电、环保等相关单位的联系协调工作。</w:t>
      </w:r>
    </w:p>
    <w:p w14:paraId="0BA734F2">
      <w:pPr>
        <w:widowControl/>
        <w:snapToGrid w:val="0"/>
        <w:spacing w:line="500" w:lineRule="exact"/>
        <w:ind w:firstLine="480" w:firstLineChars="200"/>
        <w:jc w:val="left"/>
        <w:rPr>
          <w:rFonts w:ascii="宋体" w:hAnsi="宋体" w:eastAsia="宋体" w:cs="宋体"/>
          <w:kern w:val="0"/>
          <w:sz w:val="24"/>
        </w:rPr>
      </w:pPr>
      <w:r>
        <w:rPr>
          <w:rFonts w:hint="eastAsia" w:ascii="宋体" w:hAnsi="宋体" w:eastAsia="宋体" w:cs="宋体"/>
          <w:kern w:val="0"/>
          <w:sz w:val="24"/>
        </w:rPr>
        <w:t>3.2</w:t>
      </w:r>
      <w:r>
        <w:rPr>
          <w:rFonts w:ascii="宋体" w:hAnsi="宋体" w:eastAsia="宋体" w:cs="宋体"/>
          <w:kern w:val="0"/>
          <w:sz w:val="24"/>
        </w:rPr>
        <w:t xml:space="preserve"> </w:t>
      </w:r>
      <w:r>
        <w:rPr>
          <w:rFonts w:hint="eastAsia" w:ascii="宋体" w:hAnsi="宋体" w:eastAsia="宋体" w:cs="宋体"/>
          <w:kern w:val="0"/>
          <w:sz w:val="24"/>
        </w:rPr>
        <w:t>为他人提供方便</w:t>
      </w:r>
    </w:p>
    <w:p w14:paraId="4993DC19">
      <w:pPr>
        <w:widowControl/>
        <w:snapToGrid w:val="0"/>
        <w:spacing w:line="500" w:lineRule="exact"/>
        <w:jc w:val="left"/>
        <w:rPr>
          <w:rFonts w:ascii="宋体" w:hAnsi="宋体" w:eastAsia="宋体" w:cs="宋体"/>
          <w:kern w:val="0"/>
          <w:sz w:val="24"/>
        </w:rPr>
      </w:pPr>
      <w:r>
        <w:rPr>
          <w:rFonts w:ascii="宋体" w:hAnsi="宋体" w:eastAsia="宋体" w:cs="宋体"/>
          <w:kern w:val="0"/>
          <w:sz w:val="24"/>
        </w:rPr>
        <w:t xml:space="preserve">   </w:t>
      </w:r>
      <w:r>
        <w:rPr>
          <w:rFonts w:hint="eastAsia" w:ascii="宋体" w:hAnsi="宋体" w:eastAsia="宋体" w:cs="宋体"/>
          <w:kern w:val="0"/>
          <w:sz w:val="24"/>
        </w:rPr>
        <w:t xml:space="preserve"> 承包人为他人提供条件的内容：承包人应按发包人的指示为相关施工单位或他人在施工场地或附近实施与工程有关的其他各项工作提供可能的条件。</w:t>
      </w:r>
    </w:p>
    <w:p w14:paraId="149E4705">
      <w:pPr>
        <w:widowControl/>
        <w:snapToGrid w:val="0"/>
        <w:spacing w:line="500" w:lineRule="exact"/>
        <w:ind w:firstLine="480"/>
        <w:jc w:val="left"/>
        <w:rPr>
          <w:rFonts w:ascii="宋体" w:hAnsi="宋体" w:eastAsia="宋体" w:cs="宋体"/>
          <w:kern w:val="0"/>
          <w:sz w:val="24"/>
          <w:u w:val="single"/>
        </w:rPr>
      </w:pPr>
      <w:r>
        <w:rPr>
          <w:rFonts w:hint="eastAsia" w:ascii="宋体" w:hAnsi="宋体" w:eastAsia="宋体" w:cs="宋体"/>
          <w:kern w:val="0"/>
          <w:sz w:val="24"/>
        </w:rPr>
        <w:t>承包人为他人提供条件可能发生费用的处理方法：</w:t>
      </w:r>
      <w:r>
        <w:rPr>
          <w:rFonts w:hint="eastAsia" w:ascii="宋体" w:hAnsi="宋体" w:eastAsia="宋体" w:cs="宋体"/>
          <w:kern w:val="0"/>
          <w:sz w:val="24"/>
          <w:u w:val="single"/>
        </w:rPr>
        <w:t xml:space="preserve">  合同、</w:t>
      </w:r>
      <w:r>
        <w:rPr>
          <w:rFonts w:ascii="宋体" w:hAnsi="宋体" w:eastAsia="宋体" w:cs="宋体"/>
          <w:kern w:val="0"/>
          <w:sz w:val="24"/>
          <w:u w:val="single"/>
        </w:rPr>
        <w:t>施工图纸</w:t>
      </w:r>
      <w:r>
        <w:rPr>
          <w:rFonts w:hint="eastAsia" w:ascii="宋体" w:hAnsi="宋体" w:eastAsia="宋体" w:cs="宋体"/>
          <w:kern w:val="0"/>
          <w:sz w:val="24"/>
          <w:u w:val="single"/>
        </w:rPr>
        <w:t xml:space="preserve">明确的范围内，由承包人自行承担。  </w:t>
      </w:r>
    </w:p>
    <w:p w14:paraId="7AEF691D">
      <w:pPr>
        <w:widowControl/>
        <w:snapToGrid w:val="0"/>
        <w:spacing w:line="500" w:lineRule="exact"/>
        <w:ind w:firstLine="480" w:firstLineChars="200"/>
        <w:jc w:val="left"/>
        <w:rPr>
          <w:rFonts w:ascii="宋体" w:hAnsi="宋体" w:eastAsia="宋体" w:cs="宋体"/>
          <w:kern w:val="0"/>
          <w:sz w:val="24"/>
        </w:rPr>
      </w:pPr>
      <w:r>
        <w:rPr>
          <w:rFonts w:hint="eastAsia" w:ascii="宋体" w:hAnsi="宋体" w:eastAsia="宋体" w:cs="宋体"/>
          <w:kern w:val="0"/>
          <w:sz w:val="24"/>
        </w:rPr>
        <w:t>3.3 已竣工工程未交付发包人之前，承包人负责该工程以及相关设施的保护工作，保护期间发生损坏，承包人自费予以修复；已竣工的工程未交付发包人之前，承包人应负责成品保护工作，因保护不力造成的经济损失和责任由承包人承担。已完工程成品保护的特殊要求由承包人做出详细方案，并落实到位，确保成品完好，费用由承包人负担。</w:t>
      </w:r>
    </w:p>
    <w:p w14:paraId="67FAFB04">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3.4 其他义务：凡发包人要求增加的与本工程相关的工作，承包人应配合发包人及时组织施工，工程费用按合同及其相关约定结算办法办理。</w:t>
      </w:r>
    </w:p>
    <w:p w14:paraId="191CC232">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3.5遵守政府有关主管部门对施工场地交通、施工噪音以及环境保护和安全生产等的管理规定，按规定办理有关手续，并以书面形式通知发包人。</w:t>
      </w:r>
    </w:p>
    <w:p w14:paraId="5D2D2632">
      <w:pPr>
        <w:widowControl/>
        <w:snapToGrid w:val="0"/>
        <w:spacing w:line="500" w:lineRule="exact"/>
        <w:jc w:val="left"/>
        <w:rPr>
          <w:rFonts w:ascii="宋体" w:hAnsi="宋体" w:eastAsia="宋体" w:cs="宋体"/>
          <w:kern w:val="0"/>
          <w:sz w:val="24"/>
        </w:rPr>
      </w:pPr>
      <w:r>
        <w:rPr>
          <w:rFonts w:hint="eastAsia" w:ascii="宋体" w:hAnsi="宋体" w:eastAsia="宋体" w:cs="宋体"/>
          <w:kern w:val="0"/>
          <w:sz w:val="24"/>
        </w:rPr>
        <w:t xml:space="preserve">    ①需要办理交通特别通行证时，由承包人负责办证；</w:t>
      </w:r>
    </w:p>
    <w:p w14:paraId="05933A59">
      <w:pPr>
        <w:widowControl/>
        <w:snapToGrid w:val="0"/>
        <w:spacing w:line="500" w:lineRule="exact"/>
        <w:ind w:firstLine="480" w:firstLineChars="200"/>
        <w:jc w:val="left"/>
        <w:rPr>
          <w:rFonts w:ascii="宋体" w:hAnsi="宋体" w:eastAsia="宋体" w:cs="宋体"/>
          <w:kern w:val="0"/>
          <w:sz w:val="24"/>
        </w:rPr>
      </w:pPr>
      <w:r>
        <w:rPr>
          <w:rFonts w:hint="eastAsia" w:ascii="宋体" w:hAnsi="宋体" w:eastAsia="宋体" w:cs="宋体"/>
          <w:kern w:val="0"/>
          <w:sz w:val="24"/>
        </w:rPr>
        <w:t>②施工噪音超过当地主管部门的规定时，由承包人提出整改措施；</w:t>
      </w:r>
    </w:p>
    <w:p w14:paraId="524AF58E">
      <w:pPr>
        <w:widowControl/>
        <w:snapToGrid w:val="0"/>
        <w:spacing w:line="500" w:lineRule="exact"/>
        <w:ind w:firstLine="480" w:firstLineChars="200"/>
        <w:jc w:val="left"/>
        <w:rPr>
          <w:rFonts w:ascii="宋体" w:hAnsi="宋体" w:eastAsia="宋体" w:cs="宋体"/>
          <w:kern w:val="0"/>
          <w:sz w:val="24"/>
        </w:rPr>
      </w:pPr>
      <w:r>
        <w:rPr>
          <w:rFonts w:hint="eastAsia" w:ascii="宋体" w:hAnsi="宋体" w:eastAsia="宋体" w:cs="宋体"/>
          <w:kern w:val="0"/>
          <w:sz w:val="24"/>
          <w:szCs w:val="24"/>
        </w:rPr>
        <w:sym w:font="Wingdings" w:char="F083"/>
      </w:r>
      <w:r>
        <w:rPr>
          <w:rFonts w:hint="eastAsia" w:ascii="宋体" w:hAnsi="宋体" w:eastAsia="宋体" w:cs="宋体"/>
          <w:kern w:val="0"/>
          <w:sz w:val="24"/>
        </w:rPr>
        <w:t>施工现场需排放有害污水时，由承包人办理有关手续；</w:t>
      </w:r>
    </w:p>
    <w:p w14:paraId="1B507418">
      <w:pPr>
        <w:widowControl/>
        <w:snapToGrid w:val="0"/>
        <w:spacing w:line="500" w:lineRule="exact"/>
        <w:jc w:val="left"/>
        <w:rPr>
          <w:rFonts w:ascii="宋体" w:hAnsi="宋体" w:eastAsia="宋体" w:cs="宋体"/>
          <w:kern w:val="0"/>
          <w:sz w:val="24"/>
        </w:rPr>
      </w:pPr>
      <w:r>
        <w:rPr>
          <w:rFonts w:hint="eastAsia" w:ascii="宋体" w:hAnsi="宋体" w:eastAsia="宋体" w:cs="宋体"/>
          <w:kern w:val="0"/>
          <w:sz w:val="24"/>
        </w:rPr>
        <w:t xml:space="preserve">    以上所发生的费用由承包人自行承担，</w:t>
      </w:r>
      <w:r>
        <w:rPr>
          <w:rFonts w:hint="eastAsia" w:ascii="宋体" w:hAnsi="宋体" w:eastAsia="宋体" w:cs="宋体"/>
          <w:kern w:val="0"/>
          <w:sz w:val="24"/>
          <w:u w:val="single"/>
        </w:rPr>
        <w:t>费用已含在合同价中</w:t>
      </w:r>
      <w:r>
        <w:rPr>
          <w:rFonts w:hint="eastAsia" w:ascii="宋体" w:hAnsi="宋体" w:eastAsia="宋体" w:cs="宋体"/>
          <w:kern w:val="0"/>
          <w:sz w:val="24"/>
        </w:rPr>
        <w:t>。</w:t>
      </w:r>
    </w:p>
    <w:p w14:paraId="7BF15E8A">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3.6承包人应提出用水用电申请；编制施工组织设计或施工方案，报发包人书面审批同意后实施。</w:t>
      </w:r>
    </w:p>
    <w:p w14:paraId="52771917">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3.7做好施工场地的地下管线；地上建筑物、构筑物的保护工作。各施工地点要设立明显的标志。如承包人未履行上述义务造成人员、车辆伤害，构筑物、建筑物、地下管线的损坏，由承包人自行承担所发生的一切费用及损失。</w:t>
      </w:r>
    </w:p>
    <w:p w14:paraId="787BC83F">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3.8承包人要遵守文明施工规定，遵守安全、环保、消防、保卫部门的有关规定，否则违章作业造成经济损失或经济、法律责任的，由承包人自行负责。</w:t>
      </w:r>
    </w:p>
    <w:p w14:paraId="328BF90B">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3.9工程施工结束，承包人应将剩余物资、设</w:t>
      </w:r>
      <w:r>
        <w:rPr>
          <w:rFonts w:ascii="宋体" w:hAnsi="宋体" w:eastAsia="宋体" w:cs="宋体"/>
          <w:kern w:val="0"/>
          <w:sz w:val="24"/>
        </w:rPr>
        <w:t>备、</w:t>
      </w:r>
      <w:r>
        <w:rPr>
          <w:rFonts w:hint="eastAsia" w:ascii="宋体" w:hAnsi="宋体" w:eastAsia="宋体" w:cs="宋体"/>
          <w:kern w:val="0"/>
          <w:sz w:val="24"/>
        </w:rPr>
        <w:t>材料和废品及时清除。工程竣工后，承包人应按发包人要求，限期将施工机具、器具、生活设施等物品及时移走。如承包人接到发包人清除、移除通知后7个日历天内不予清除的，发包人代为清除，其费用由承包人承担；给发包人造成损失的，由承包人负责赔偿。</w:t>
      </w:r>
    </w:p>
    <w:p w14:paraId="2E15C245">
      <w:pPr>
        <w:widowControl/>
        <w:snapToGrid w:val="0"/>
        <w:spacing w:line="500" w:lineRule="exact"/>
        <w:ind w:firstLine="420"/>
        <w:jc w:val="left"/>
        <w:rPr>
          <w:rFonts w:ascii="宋体" w:hAnsi="宋体" w:eastAsia="宋体" w:cs="宋体"/>
          <w:kern w:val="0"/>
          <w:sz w:val="24"/>
        </w:rPr>
      </w:pPr>
      <w:r>
        <w:rPr>
          <w:rFonts w:hint="eastAsia" w:ascii="宋体" w:hAnsi="宋体" w:eastAsia="宋体" w:cs="宋体"/>
          <w:kern w:val="0"/>
          <w:sz w:val="24"/>
        </w:rPr>
        <w:t>3.10承包人应建立完善的安全措施保证体系，制定安全措施方案经监理人及发包人审批后，在施工过程中严格实施，发包人在施工过程中检查落实相关安全措施执行情况。</w:t>
      </w:r>
    </w:p>
    <w:p w14:paraId="680BE508">
      <w:pPr>
        <w:spacing w:line="360" w:lineRule="auto"/>
        <w:ind w:firstLine="210" w:firstLineChars="100"/>
        <w:textAlignment w:val="center"/>
        <w:rPr>
          <w:rFonts w:ascii="宋体" w:hAnsi="宋体" w:eastAsia="宋体" w:cs="宋体"/>
          <w:kern w:val="0"/>
          <w:sz w:val="24"/>
        </w:rPr>
      </w:pPr>
      <w:r>
        <w:rPr>
          <w:rFonts w:hint="eastAsia" w:ascii="Calibri" w:hAnsi="Calibri" w:eastAsia="宋体" w:cs="Times New Roman"/>
        </w:rPr>
        <w:t xml:space="preserve"> </w:t>
      </w:r>
      <w:r>
        <w:rPr>
          <w:rFonts w:hint="eastAsia" w:ascii="宋体" w:hAnsi="宋体" w:eastAsia="宋体" w:cs="宋体"/>
          <w:kern w:val="0"/>
          <w:sz w:val="24"/>
        </w:rPr>
        <w:t xml:space="preserve"> 3.11承包人应严格遵守《保障农民工工资支付条例》等法律法规的规定，及时支付工程中的民工工资等费用。承包人不得以任何借口拖欠民工工资等费用，如果出现此种现象，发包人有权代为支付其拖欠的民工工资，并从应付给承包人的工程款中扣除相应款项。对恶意拖欠和拒不按计划支付的，作为不良记录纳入建设市场信用信息管理系统。</w:t>
      </w:r>
    </w:p>
    <w:p w14:paraId="65D444EC">
      <w:pPr>
        <w:widowControl/>
        <w:snapToGrid w:val="0"/>
        <w:spacing w:line="360" w:lineRule="auto"/>
        <w:ind w:firstLine="420"/>
        <w:jc w:val="left"/>
        <w:rPr>
          <w:rFonts w:ascii="宋体" w:hAnsi="宋体" w:eastAsia="宋体" w:cs="宋体"/>
          <w:kern w:val="0"/>
          <w:sz w:val="24"/>
        </w:rPr>
      </w:pPr>
      <w:r>
        <w:rPr>
          <w:rFonts w:hint="eastAsia" w:ascii="宋体" w:hAnsi="宋体" w:eastAsia="宋体" w:cs="宋体"/>
          <w:kern w:val="0"/>
          <w:sz w:val="24"/>
        </w:rPr>
        <w:t>承包人的项目经理部是民工工资支付行为的主体，承包人的项目经理是民工工资支付的责任人。项目经理部要建立全体民工花名册和工资支付表，确保将工资直接发放给民工本人，或委托银行发放民工工资，严禁发放给“包工头”或其他不具备用工主体资格的组织和个人。</w:t>
      </w:r>
    </w:p>
    <w:p w14:paraId="717070CB">
      <w:pPr>
        <w:spacing w:line="360" w:lineRule="auto"/>
        <w:ind w:firstLine="480" w:firstLineChars="200"/>
        <w:jc w:val="left"/>
        <w:textAlignment w:val="center"/>
        <w:rPr>
          <w:rFonts w:ascii="宋体" w:hAnsi="宋体" w:eastAsia="宋体" w:cs="宋体"/>
          <w:kern w:val="0"/>
          <w:sz w:val="24"/>
        </w:rPr>
      </w:pPr>
      <w:r>
        <w:rPr>
          <w:rFonts w:hint="eastAsia" w:ascii="宋体" w:hAnsi="宋体" w:eastAsia="宋体" w:cs="宋体"/>
          <w:kern w:val="0"/>
          <w:sz w:val="24"/>
        </w:rPr>
        <w:t>承包人应设农民工工资专用账户，专项用于支付该工程建设项目农民工工资，并建立用工管理台账，并保存至工程完工且工资全部结清后至少3年。工资支付表应如实记录支付单位、支付时间、支付对象、支付数额、支付对象的身份证号和签字等信息。民工花名册、工资支付表和用工管理台账应报发包人备查。</w:t>
      </w:r>
    </w:p>
    <w:p w14:paraId="74B6404C">
      <w:pPr>
        <w:autoSpaceDE w:val="0"/>
        <w:autoSpaceDN w:val="0"/>
        <w:adjustRightInd w:val="0"/>
        <w:spacing w:before="100" w:after="100" w:line="500" w:lineRule="exact"/>
        <w:ind w:right="-334" w:rightChars="-159" w:firstLine="480" w:firstLineChars="200"/>
        <w:jc w:val="left"/>
        <w:rPr>
          <w:rFonts w:ascii="宋体" w:hAnsi="宋体" w:eastAsia="宋体" w:cs="Times New Roman"/>
          <w:kern w:val="0"/>
          <w:sz w:val="24"/>
          <w:szCs w:val="20"/>
          <w:u w:val="single"/>
          <w:lang w:val="zh-CN"/>
        </w:rPr>
      </w:pPr>
      <w:r>
        <w:rPr>
          <w:rFonts w:hint="eastAsia" w:ascii="宋体" w:hAnsi="宋体" w:eastAsia="宋体" w:cs="Times New Roman"/>
          <w:kern w:val="0"/>
          <w:sz w:val="24"/>
          <w:szCs w:val="20"/>
          <w:u w:val="single"/>
        </w:rPr>
        <w:t>3.12承包人未能履行以</w:t>
      </w:r>
      <w:r>
        <w:rPr>
          <w:rFonts w:ascii="宋体" w:hAnsi="宋体" w:eastAsia="宋体" w:cs="Times New Roman"/>
          <w:kern w:val="0"/>
          <w:sz w:val="24"/>
          <w:szCs w:val="20"/>
          <w:u w:val="single"/>
        </w:rPr>
        <w:t>上</w:t>
      </w:r>
      <w:r>
        <w:rPr>
          <w:rFonts w:hint="eastAsia" w:ascii="宋体" w:hAnsi="宋体" w:eastAsia="宋体" w:cs="Times New Roman"/>
          <w:kern w:val="0"/>
          <w:sz w:val="24"/>
          <w:szCs w:val="20"/>
          <w:u w:val="single"/>
        </w:rPr>
        <w:t>3.1-3.11款各项义务，引起合同纠纷或造成安全隐患，相应造成承包人人员、财产损失的，</w:t>
      </w:r>
      <w:r>
        <w:rPr>
          <w:rFonts w:hint="eastAsia" w:ascii="宋体" w:hAnsi="宋体" w:eastAsia="宋体" w:cs="Times New Roman"/>
          <w:kern w:val="0"/>
          <w:sz w:val="24"/>
          <w:szCs w:val="20"/>
          <w:u w:val="single"/>
          <w:lang w:val="zh-CN"/>
        </w:rPr>
        <w:t>承包人</w:t>
      </w:r>
      <w:r>
        <w:rPr>
          <w:rFonts w:hint="eastAsia" w:ascii="宋体" w:hAnsi="宋体" w:eastAsia="宋体" w:cs="Times New Roman"/>
          <w:kern w:val="0"/>
          <w:sz w:val="24"/>
          <w:szCs w:val="20"/>
          <w:u w:val="single"/>
        </w:rPr>
        <w:t>自行负责</w:t>
      </w:r>
      <w:r>
        <w:rPr>
          <w:rFonts w:hint="eastAsia" w:ascii="宋体" w:hAnsi="宋体" w:eastAsia="宋体" w:cs="Times New Roman"/>
          <w:kern w:val="0"/>
          <w:sz w:val="24"/>
          <w:szCs w:val="20"/>
          <w:u w:val="single"/>
          <w:lang w:val="zh-CN"/>
        </w:rPr>
        <w:t>，</w:t>
      </w:r>
      <w:r>
        <w:rPr>
          <w:rFonts w:hint="eastAsia" w:ascii="宋体" w:hAnsi="宋体" w:eastAsia="宋体" w:cs="Times New Roman"/>
          <w:kern w:val="0"/>
          <w:sz w:val="24"/>
          <w:szCs w:val="20"/>
          <w:u w:val="single"/>
        </w:rPr>
        <w:t>造成发包人及第三人损失的，由承包人按实际损失金额予以赔偿</w:t>
      </w:r>
      <w:r>
        <w:rPr>
          <w:rFonts w:hint="eastAsia" w:ascii="宋体" w:hAnsi="宋体" w:eastAsia="宋体" w:cs="Times New Roman"/>
          <w:kern w:val="0"/>
          <w:sz w:val="24"/>
          <w:szCs w:val="20"/>
          <w:u w:val="single"/>
          <w:lang w:val="zh-CN"/>
        </w:rPr>
        <w:t>。</w:t>
      </w:r>
    </w:p>
    <w:p w14:paraId="43140C4A">
      <w:pPr>
        <w:autoSpaceDE w:val="0"/>
        <w:autoSpaceDN w:val="0"/>
        <w:adjustRightInd w:val="0"/>
        <w:spacing w:before="100" w:after="100" w:line="500" w:lineRule="exact"/>
        <w:ind w:right="-334" w:rightChars="-159" w:firstLine="480" w:firstLineChars="200"/>
        <w:jc w:val="left"/>
        <w:rPr>
          <w:rFonts w:ascii="宋体" w:hAnsi="宋体" w:eastAsia="宋体" w:cs="Times New Roman"/>
          <w:kern w:val="0"/>
          <w:sz w:val="24"/>
          <w:szCs w:val="20"/>
          <w:u w:val="single"/>
        </w:rPr>
      </w:pPr>
      <w:r>
        <w:rPr>
          <w:rFonts w:hint="eastAsia" w:ascii="宋体" w:hAnsi="宋体" w:eastAsia="宋体" w:cs="Times New Roman"/>
          <w:kern w:val="0"/>
          <w:sz w:val="24"/>
          <w:szCs w:val="20"/>
          <w:u w:val="single"/>
        </w:rPr>
        <w:t>3.13 因承包人原因造成工期延误的，每延误一天，处以承包人5000元/天违约金。</w:t>
      </w:r>
    </w:p>
    <w:p w14:paraId="5E8987F3">
      <w:pPr>
        <w:spacing w:line="500" w:lineRule="exact"/>
        <w:ind w:firstLine="482" w:firstLineChars="200"/>
        <w:rPr>
          <w:rFonts w:ascii="宋体" w:hAnsi="宋体" w:eastAsia="宋体" w:cs="宋体"/>
          <w:b/>
          <w:sz w:val="24"/>
        </w:rPr>
      </w:pPr>
      <w:r>
        <w:rPr>
          <w:rFonts w:hint="eastAsia" w:ascii="宋体" w:hAnsi="宋体" w:eastAsia="宋体" w:cs="宋体"/>
          <w:b/>
          <w:sz w:val="24"/>
        </w:rPr>
        <w:t>第四条 监理人的职责和权力</w:t>
      </w:r>
    </w:p>
    <w:p w14:paraId="5CF96AF6">
      <w:pPr>
        <w:spacing w:line="500" w:lineRule="exact"/>
        <w:ind w:firstLine="480" w:firstLineChars="200"/>
        <w:rPr>
          <w:rFonts w:ascii="宋体" w:hAnsi="宋体" w:eastAsia="宋体" w:cs="宋体"/>
          <w:kern w:val="0"/>
          <w:sz w:val="24"/>
        </w:rPr>
      </w:pPr>
      <w:r>
        <w:rPr>
          <w:rFonts w:hint="eastAsia" w:ascii="宋体" w:hAnsi="宋体" w:eastAsia="宋体" w:cs="宋体"/>
          <w:kern w:val="0"/>
          <w:sz w:val="24"/>
        </w:rPr>
        <w:t>须经发包人书面批准行使的权力：开工、停工、复工令的下达，设计变更和技术签证，现场经济签证，工程款支付和施工图预算结算审核等。</w:t>
      </w:r>
    </w:p>
    <w:p w14:paraId="1DB772D2">
      <w:pPr>
        <w:keepNext/>
        <w:keepLines/>
        <w:spacing w:line="500" w:lineRule="exact"/>
        <w:ind w:firstLine="241" w:firstLineChars="100"/>
        <w:outlineLvl w:val="2"/>
        <w:rPr>
          <w:rFonts w:ascii="宋体" w:hAnsi="宋体" w:eastAsia="宋体" w:cs="宋体"/>
          <w:b/>
          <w:sz w:val="24"/>
          <w:szCs w:val="24"/>
        </w:rPr>
      </w:pPr>
      <w:bookmarkStart w:id="28" w:name="_Toc395710647"/>
      <w:bookmarkStart w:id="29" w:name="_Toc431395330"/>
      <w:bookmarkStart w:id="30" w:name="_Toc409117916"/>
      <w:bookmarkStart w:id="31" w:name="_Toc27976"/>
      <w:bookmarkStart w:id="32" w:name="_Toc398019757"/>
      <w:bookmarkStart w:id="33" w:name="_Toc398821409"/>
      <w:r>
        <w:rPr>
          <w:rFonts w:hint="eastAsia" w:ascii="宋体" w:hAnsi="宋体" w:eastAsia="宋体" w:cs="宋体"/>
          <w:b/>
          <w:sz w:val="24"/>
          <w:szCs w:val="24"/>
        </w:rPr>
        <w:t>第五条 变更</w:t>
      </w:r>
      <w:bookmarkEnd w:id="28"/>
      <w:bookmarkEnd w:id="29"/>
      <w:bookmarkEnd w:id="30"/>
      <w:bookmarkEnd w:id="31"/>
      <w:bookmarkEnd w:id="32"/>
      <w:bookmarkEnd w:id="33"/>
    </w:p>
    <w:p w14:paraId="40EB25C1">
      <w:pPr>
        <w:widowControl/>
        <w:snapToGrid w:val="0"/>
        <w:spacing w:line="500" w:lineRule="exact"/>
        <w:ind w:firstLine="482" w:firstLineChars="200"/>
        <w:jc w:val="left"/>
        <w:rPr>
          <w:rFonts w:ascii="宋体" w:hAnsi="宋体" w:eastAsia="宋体" w:cs="宋体"/>
          <w:b/>
          <w:bCs/>
          <w:kern w:val="0"/>
          <w:sz w:val="24"/>
          <w:szCs w:val="24"/>
        </w:rPr>
      </w:pPr>
      <w:r>
        <w:rPr>
          <w:rFonts w:hint="eastAsia" w:ascii="宋体" w:hAnsi="宋体" w:eastAsia="宋体" w:cs="宋体"/>
          <w:b/>
          <w:bCs/>
          <w:kern w:val="0"/>
          <w:sz w:val="24"/>
          <w:szCs w:val="24"/>
        </w:rPr>
        <w:t>5.1</w:t>
      </w:r>
      <w:r>
        <w:rPr>
          <w:rFonts w:ascii="宋体" w:hAnsi="宋体" w:eastAsia="宋体" w:cs="宋体"/>
          <w:b/>
          <w:bCs/>
          <w:kern w:val="0"/>
          <w:sz w:val="24"/>
          <w:szCs w:val="24"/>
        </w:rPr>
        <w:t xml:space="preserve">  </w:t>
      </w:r>
      <w:r>
        <w:rPr>
          <w:rFonts w:hint="eastAsia" w:ascii="宋体" w:hAnsi="宋体" w:eastAsia="宋体" w:cs="宋体"/>
          <w:b/>
          <w:bCs/>
          <w:kern w:val="0"/>
          <w:sz w:val="24"/>
          <w:szCs w:val="24"/>
        </w:rPr>
        <w:t>变更的范围和内容</w:t>
      </w:r>
    </w:p>
    <w:p w14:paraId="6F942681">
      <w:pPr>
        <w:widowControl/>
        <w:snapToGrid w:val="0"/>
        <w:spacing w:line="500" w:lineRule="exact"/>
        <w:ind w:firstLine="480" w:firstLineChars="200"/>
        <w:jc w:val="left"/>
        <w:rPr>
          <w:rFonts w:ascii="宋体" w:hAnsi="宋体" w:eastAsia="宋体" w:cs="宋体"/>
          <w:kern w:val="0"/>
          <w:sz w:val="24"/>
          <w:szCs w:val="24"/>
          <w:u w:val="single"/>
        </w:rPr>
      </w:pPr>
      <w:r>
        <w:rPr>
          <w:rFonts w:hint="eastAsia" w:ascii="宋体" w:hAnsi="宋体" w:eastAsia="宋体" w:cs="宋体"/>
          <w:kern w:val="0"/>
          <w:sz w:val="24"/>
          <w:szCs w:val="24"/>
          <w:u w:val="single"/>
        </w:rPr>
        <w:t>设计变更、增减工程等必须经业主单位书面审批同意（加盖业主单位印章）后实施。未经业主单位签字盖章（加盖业主单位印章）的设计项目及增加工程不纳入工程变更及结算，施工方自行承担经济损失。</w:t>
      </w:r>
    </w:p>
    <w:p w14:paraId="65E678D7">
      <w:pPr>
        <w:widowControl/>
        <w:snapToGrid w:val="0"/>
        <w:spacing w:line="500" w:lineRule="exact"/>
        <w:ind w:firstLine="482" w:firstLineChars="200"/>
        <w:jc w:val="left"/>
        <w:rPr>
          <w:rFonts w:ascii="宋体" w:hAnsi="宋体" w:eastAsia="宋体" w:cs="宋体"/>
          <w:b/>
          <w:bCs/>
          <w:kern w:val="0"/>
          <w:sz w:val="24"/>
          <w:szCs w:val="24"/>
        </w:rPr>
      </w:pPr>
      <w:r>
        <w:rPr>
          <w:rFonts w:hint="eastAsia" w:ascii="宋体" w:hAnsi="宋体" w:eastAsia="宋体" w:cs="宋体"/>
          <w:b/>
          <w:bCs/>
          <w:kern w:val="0"/>
          <w:sz w:val="24"/>
          <w:szCs w:val="24"/>
        </w:rPr>
        <w:t>5.2</w:t>
      </w:r>
      <w:r>
        <w:rPr>
          <w:rFonts w:ascii="宋体" w:hAnsi="宋体" w:eastAsia="宋体" w:cs="宋体"/>
          <w:b/>
          <w:bCs/>
          <w:kern w:val="0"/>
          <w:sz w:val="24"/>
          <w:szCs w:val="24"/>
        </w:rPr>
        <w:t xml:space="preserve">  </w:t>
      </w:r>
      <w:r>
        <w:rPr>
          <w:rFonts w:hint="eastAsia" w:ascii="宋体" w:hAnsi="宋体" w:eastAsia="宋体" w:cs="宋体"/>
          <w:b/>
          <w:bCs/>
          <w:kern w:val="0"/>
          <w:sz w:val="24"/>
          <w:szCs w:val="24"/>
        </w:rPr>
        <w:t>变更程序</w:t>
      </w:r>
    </w:p>
    <w:p w14:paraId="4DE63D0E">
      <w:pPr>
        <w:widowControl/>
        <w:snapToGrid w:val="0"/>
        <w:spacing w:line="500" w:lineRule="exact"/>
        <w:ind w:firstLine="480" w:firstLineChars="200"/>
        <w:jc w:val="left"/>
        <w:rPr>
          <w:rFonts w:ascii="宋体" w:hAnsi="宋体" w:eastAsia="宋体" w:cs="宋体"/>
          <w:bCs/>
          <w:kern w:val="0"/>
          <w:sz w:val="24"/>
          <w:szCs w:val="24"/>
          <w:u w:val="single"/>
        </w:rPr>
      </w:pPr>
      <w:r>
        <w:rPr>
          <w:rFonts w:hint="eastAsia" w:ascii="宋体" w:hAnsi="宋体" w:eastAsia="宋体" w:cs="宋体"/>
          <w:kern w:val="0"/>
          <w:sz w:val="24"/>
          <w:szCs w:val="24"/>
          <w:u w:val="single"/>
        </w:rPr>
        <w:t>5.2.1</w:t>
      </w:r>
      <w:r>
        <w:rPr>
          <w:rFonts w:ascii="宋体" w:hAnsi="宋体" w:eastAsia="宋体" w:cs="宋体"/>
          <w:bCs/>
          <w:kern w:val="0"/>
          <w:sz w:val="24"/>
          <w:szCs w:val="24"/>
          <w:u w:val="single"/>
        </w:rPr>
        <w:t xml:space="preserve"> </w:t>
      </w:r>
      <w:r>
        <w:rPr>
          <w:rFonts w:hint="eastAsia" w:ascii="宋体" w:hAnsi="宋体" w:eastAsia="宋体" w:cs="宋体"/>
          <w:bCs/>
          <w:kern w:val="0"/>
          <w:sz w:val="24"/>
          <w:szCs w:val="24"/>
          <w:u w:val="single"/>
        </w:rPr>
        <w:t>变更金额及评审程序：严格按照九龙坡府发【2021】2号文件执行，</w:t>
      </w:r>
      <w:r>
        <w:rPr>
          <w:rFonts w:hint="eastAsia" w:ascii="宋体" w:hAnsi="宋体" w:eastAsia="宋体" w:cs="宋体"/>
          <w:bCs/>
          <w:kern w:val="0"/>
          <w:sz w:val="24"/>
          <w:szCs w:val="24"/>
          <w:highlight w:val="yellow"/>
          <w:u w:val="single"/>
        </w:rPr>
        <w:t>有最新文件的按最新文件执行。</w:t>
      </w:r>
    </w:p>
    <w:p w14:paraId="770C9EF7">
      <w:pPr>
        <w:widowControl/>
        <w:snapToGrid w:val="0"/>
        <w:spacing w:line="500" w:lineRule="exact"/>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5.2.2</w:t>
      </w:r>
      <w:r>
        <w:rPr>
          <w:rFonts w:ascii="宋体" w:hAnsi="宋体" w:eastAsia="宋体" w:cs="宋体"/>
          <w:kern w:val="0"/>
          <w:sz w:val="24"/>
          <w:szCs w:val="24"/>
        </w:rPr>
        <w:t xml:space="preserve">  </w:t>
      </w:r>
      <w:r>
        <w:rPr>
          <w:rFonts w:hint="eastAsia" w:ascii="宋体" w:hAnsi="宋体" w:eastAsia="宋体" w:cs="宋体"/>
          <w:kern w:val="0"/>
          <w:sz w:val="24"/>
          <w:szCs w:val="24"/>
        </w:rPr>
        <w:t>变更估价</w:t>
      </w:r>
    </w:p>
    <w:p w14:paraId="7FE8DEC0">
      <w:pPr>
        <w:widowControl/>
        <w:snapToGrid w:val="0"/>
        <w:spacing w:line="500" w:lineRule="exact"/>
        <w:ind w:firstLine="480" w:firstLineChars="200"/>
        <w:jc w:val="left"/>
        <w:rPr>
          <w:rFonts w:ascii="宋体" w:hAnsi="宋体" w:eastAsia="宋体" w:cs="宋体"/>
          <w:kern w:val="0"/>
          <w:sz w:val="24"/>
          <w:szCs w:val="24"/>
        </w:rPr>
      </w:pPr>
      <w:r>
        <w:rPr>
          <w:rFonts w:ascii="宋体" w:hAnsi="宋体" w:eastAsia="宋体" w:cs="宋体"/>
          <w:kern w:val="0"/>
          <w:sz w:val="24"/>
          <w:szCs w:val="24"/>
        </w:rPr>
        <w:t xml:space="preserve"> </w:t>
      </w:r>
      <w:r>
        <w:rPr>
          <w:rFonts w:hint="eastAsia" w:ascii="宋体" w:hAnsi="宋体" w:eastAsia="宋体" w:cs="宋体"/>
          <w:kern w:val="0"/>
          <w:sz w:val="24"/>
          <w:szCs w:val="24"/>
        </w:rPr>
        <w:t>承包人提交变更报价书的期限：</w:t>
      </w:r>
      <w:r>
        <w:rPr>
          <w:rFonts w:hint="eastAsia" w:ascii="宋体" w:hAnsi="宋体" w:eastAsia="宋体" w:cs="宋体"/>
          <w:kern w:val="0"/>
          <w:sz w:val="24"/>
          <w:szCs w:val="24"/>
          <w:u w:val="single"/>
        </w:rPr>
        <w:t>承包人应在收到变更指示或变更意向书后</w:t>
      </w:r>
      <w:r>
        <w:rPr>
          <w:rFonts w:ascii="宋体" w:hAnsi="宋体" w:eastAsia="宋体" w:cs="宋体"/>
          <w:kern w:val="0"/>
          <w:sz w:val="24"/>
          <w:szCs w:val="24"/>
          <w:u w:val="single"/>
        </w:rPr>
        <w:t>7</w:t>
      </w:r>
      <w:r>
        <w:rPr>
          <w:rFonts w:hint="eastAsia" w:ascii="宋体" w:hAnsi="宋体" w:eastAsia="宋体" w:cs="宋体"/>
          <w:kern w:val="0"/>
          <w:sz w:val="24"/>
          <w:szCs w:val="24"/>
          <w:u w:val="single"/>
        </w:rPr>
        <w:t>日内，向发包人提交变更报价书。</w:t>
      </w:r>
      <w:r>
        <w:rPr>
          <w:rFonts w:ascii="宋体" w:hAnsi="宋体" w:eastAsia="宋体" w:cs="宋体"/>
          <w:kern w:val="0"/>
          <w:sz w:val="24"/>
          <w:szCs w:val="24"/>
          <w:u w:val="single"/>
        </w:rPr>
        <w:t xml:space="preserve"> </w:t>
      </w:r>
    </w:p>
    <w:p w14:paraId="420ABB8D">
      <w:pPr>
        <w:widowControl/>
        <w:snapToGrid w:val="0"/>
        <w:spacing w:line="500" w:lineRule="exact"/>
        <w:ind w:firstLine="480" w:firstLineChars="200"/>
        <w:jc w:val="left"/>
        <w:rPr>
          <w:rFonts w:ascii="宋体" w:hAnsi="宋体" w:eastAsia="宋体" w:cs="宋体"/>
          <w:kern w:val="0"/>
          <w:sz w:val="24"/>
          <w:szCs w:val="24"/>
          <w:u w:val="single"/>
        </w:rPr>
      </w:pPr>
      <w:r>
        <w:rPr>
          <w:rFonts w:ascii="宋体" w:hAnsi="宋体" w:eastAsia="宋体" w:cs="宋体"/>
          <w:kern w:val="0"/>
          <w:sz w:val="24"/>
          <w:szCs w:val="24"/>
        </w:rPr>
        <w:t xml:space="preserve"> </w:t>
      </w:r>
      <w:r>
        <w:rPr>
          <w:rFonts w:hint="eastAsia" w:ascii="宋体" w:hAnsi="宋体" w:eastAsia="宋体" w:cs="宋体"/>
          <w:kern w:val="0"/>
          <w:sz w:val="24"/>
          <w:szCs w:val="24"/>
        </w:rPr>
        <w:t>发包人商定或确定变更价格的期限：</w:t>
      </w:r>
      <w:r>
        <w:rPr>
          <w:rFonts w:hint="eastAsia" w:ascii="宋体" w:hAnsi="宋体" w:eastAsia="宋体" w:cs="宋体"/>
          <w:kern w:val="0"/>
          <w:sz w:val="24"/>
          <w:szCs w:val="24"/>
          <w:u w:val="single"/>
        </w:rPr>
        <w:t>发包人应在收到承包人变更报价书后</w:t>
      </w:r>
      <w:r>
        <w:rPr>
          <w:rFonts w:ascii="宋体" w:hAnsi="宋体" w:eastAsia="宋体" w:cs="宋体"/>
          <w:kern w:val="0"/>
          <w:sz w:val="24"/>
          <w:szCs w:val="24"/>
          <w:u w:val="single"/>
        </w:rPr>
        <w:t>7</w:t>
      </w:r>
      <w:r>
        <w:rPr>
          <w:rFonts w:hint="eastAsia" w:ascii="宋体" w:hAnsi="宋体" w:eastAsia="宋体" w:cs="宋体"/>
          <w:kern w:val="0"/>
          <w:sz w:val="24"/>
          <w:szCs w:val="24"/>
          <w:u w:val="single"/>
        </w:rPr>
        <w:t>日内确定变更价格并审批（变更价格最终以审计单位审定为准）。</w:t>
      </w:r>
    </w:p>
    <w:p w14:paraId="620743DE">
      <w:pPr>
        <w:widowControl/>
        <w:snapToGrid w:val="0"/>
        <w:spacing w:line="500" w:lineRule="exact"/>
        <w:ind w:firstLine="482" w:firstLineChars="200"/>
        <w:jc w:val="left"/>
        <w:rPr>
          <w:rFonts w:ascii="宋体" w:hAnsi="宋体" w:eastAsia="宋体" w:cs="宋体"/>
          <w:b/>
          <w:bCs/>
          <w:kern w:val="0"/>
          <w:sz w:val="24"/>
          <w:szCs w:val="24"/>
        </w:rPr>
      </w:pPr>
      <w:r>
        <w:rPr>
          <w:rFonts w:hint="eastAsia" w:ascii="宋体" w:hAnsi="宋体" w:eastAsia="宋体" w:cs="宋体"/>
          <w:b/>
          <w:bCs/>
          <w:kern w:val="0"/>
          <w:sz w:val="24"/>
          <w:szCs w:val="24"/>
        </w:rPr>
        <w:t>5.3</w:t>
      </w:r>
      <w:r>
        <w:rPr>
          <w:rFonts w:ascii="宋体" w:hAnsi="宋体" w:eastAsia="宋体" w:cs="宋体"/>
          <w:b/>
          <w:bCs/>
          <w:kern w:val="0"/>
          <w:sz w:val="24"/>
          <w:szCs w:val="24"/>
        </w:rPr>
        <w:t xml:space="preserve">  </w:t>
      </w:r>
      <w:r>
        <w:rPr>
          <w:rFonts w:hint="eastAsia" w:ascii="宋体" w:hAnsi="宋体" w:eastAsia="宋体" w:cs="宋体"/>
          <w:b/>
          <w:bCs/>
          <w:kern w:val="0"/>
          <w:sz w:val="24"/>
          <w:szCs w:val="24"/>
        </w:rPr>
        <w:t>变更的估价原则</w:t>
      </w:r>
    </w:p>
    <w:p w14:paraId="040DDC86">
      <w:pPr>
        <w:widowControl/>
        <w:snapToGrid w:val="0"/>
        <w:spacing w:line="500" w:lineRule="exact"/>
        <w:ind w:firstLine="440"/>
        <w:jc w:val="left"/>
        <w:rPr>
          <w:rFonts w:ascii="宋体" w:hAnsi="宋体" w:eastAsia="宋体" w:cs="宋体"/>
          <w:kern w:val="0"/>
          <w:sz w:val="24"/>
          <w:szCs w:val="24"/>
        </w:rPr>
      </w:pPr>
      <w:r>
        <w:rPr>
          <w:rFonts w:hint="eastAsia" w:ascii="宋体" w:hAnsi="宋体" w:eastAsia="宋体" w:cs="宋体"/>
          <w:kern w:val="0"/>
          <w:sz w:val="24"/>
          <w:szCs w:val="24"/>
        </w:rPr>
        <w:t>（1）综合单价估价原则：</w:t>
      </w:r>
    </w:p>
    <w:p w14:paraId="7343E14E">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5.3.1工程内容与投标报价的工程量清单中有相同的子项，则按投标时的相同子项的综合单价报价执行；</w:t>
      </w:r>
    </w:p>
    <w:p w14:paraId="457F12EB">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5.3.2工程内容与投标报价的工程量清单中有类似子项，则按投标时的类似子项的综合单价执行（类似子项由招标人审定）；</w:t>
      </w:r>
    </w:p>
    <w:p w14:paraId="3F69F813">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5.3.3工程内容与投标报价的工程量清单中无相同子项或类似子项的，按照《重庆市市政工程计价定额》（CQSZDE-2018）、《重庆市安装工程计价定额》（CQAZDE-2018）、《重庆市城市管线迁改工程计价定额》（CQGXQG-2018）、《重庆市房屋修缮工程计价定额》、《重庆市建设工程费用定额》（CQFYDE-2018）、《混凝土及砂浆配合比表、施工机械台班定额》（CQPSDE-2018）等及相关配套文件的规定组价后按（1-中标价/招标控制价）*100%比</w:t>
      </w:r>
      <w:r>
        <w:rPr>
          <w:rFonts w:ascii="宋体" w:hAnsi="宋体" w:eastAsia="宋体" w:cs="宋体"/>
          <w:kern w:val="0"/>
          <w:sz w:val="24"/>
        </w:rPr>
        <w:t>例下浮</w:t>
      </w:r>
      <w:r>
        <w:rPr>
          <w:rFonts w:hint="eastAsia" w:ascii="宋体" w:hAnsi="宋体" w:eastAsia="宋体" w:cs="宋体"/>
          <w:kern w:val="0"/>
          <w:sz w:val="24"/>
        </w:rPr>
        <w:t>作为结算综合单价（认质核价的材料不下浮）。</w:t>
      </w:r>
    </w:p>
    <w:p w14:paraId="70CFA894">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其中的人工工日单价、材料价格和未计价材料价格按以下选项调整：</w:t>
      </w:r>
    </w:p>
    <w:p w14:paraId="3A8A58D3">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人工单价：按开标当期《重庆工程造价信息》发布的项目所在地的人工单价执行。</w:t>
      </w:r>
    </w:p>
    <w:p w14:paraId="2B39386F">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2）材料单价：</w:t>
      </w:r>
    </w:p>
    <w:p w14:paraId="235A5BB7">
      <w:pPr>
        <w:spacing w:line="360" w:lineRule="auto"/>
        <w:ind w:firstLine="480" w:firstLineChars="200"/>
        <w:rPr>
          <w:rFonts w:ascii="宋体" w:hAnsi="宋体" w:cs="宋体"/>
          <w:kern w:val="0"/>
          <w:sz w:val="24"/>
        </w:rPr>
      </w:pPr>
      <w:r>
        <w:rPr>
          <w:rFonts w:hint="eastAsia" w:ascii="宋体" w:hAnsi="宋体" w:eastAsia="宋体" w:cs="宋体"/>
          <w:kern w:val="0"/>
          <w:sz w:val="24"/>
        </w:rPr>
        <w:t>①按开标当期《重庆工程造价信息》发布的项目所在地的信息价执行；</w:t>
      </w:r>
      <w:r>
        <w:rPr>
          <w:rFonts w:hint="eastAsia" w:ascii="宋体" w:hAnsi="宋体" w:cs="宋体"/>
          <w:kern w:val="0"/>
          <w:sz w:val="24"/>
        </w:rPr>
        <w:t>按信息价执行的材料不计取采保费、材料二次及多次转运费、砼外加剂费等，且为非品牌价；</w:t>
      </w:r>
    </w:p>
    <w:p w14:paraId="52F543AF">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②开标当期《重庆工程造价信息》中没有的，承包人投标报价中有的，按承包人投标报价中相同材料单价的最低值执行；</w:t>
      </w:r>
    </w:p>
    <w:p w14:paraId="18690C21">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③开标当期《重庆工程造价信息》和承包人投标报价没有的，由承包人申报、监理人会同跟审单位、发包人根据市场行情认质核价确认。</w:t>
      </w:r>
    </w:p>
    <w:p w14:paraId="0FC8EC2D">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企业管理费和利润：按承包人投标报价中相同工程分类的费用标准执行（投标报价中费用标准高于《重庆市建设工程费用定额》（CQFYDE-2018）费用标准的，按《重庆市建设工程费用定额》（CQFYDE-2018）费用标准执行）。</w:t>
      </w:r>
    </w:p>
    <w:p w14:paraId="18D376EE">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5.3.4工程量按《建设工程工程量清单计价规范》（GB50500-2013）、《市政工程工程量计算规范》（GB50857-2013）、《通用安装工程工程量计算规范 》（GB50856-2013),《重庆市建设工程工程量计算规则》（CQJLGZ-2013）等文件规定的计量规则计算的实际完成合格工程量办理结算。</w:t>
      </w:r>
    </w:p>
    <w:p w14:paraId="53515C01">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5.3.5已标价工程量清单中无相同项目亦无类似项目，也无定额可套用的，由承包人会同监理人（如有）、跟审单位（如有）、发包人按相关原则、编制方法编制补充定额（人工、材料、机械基价执行2018年计价定额的基价，2018年计价定额没有的基价，按市场价计）；或参照重庆市场相同工作的市场价格上报监理人，最终价格按承包人、监理人（如有）、跟审单位（如有）、发包人共同询价确认的价格执行。</w:t>
      </w:r>
    </w:p>
    <w:p w14:paraId="0225A988">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2）工程变更引起施工方案改变并使措施项目发生变化时，承包人提出调整措施项目费的，应事前将拟实施的方案提交监理人审核报发包人确认，并应详细说明与原方案措施项目相比的变化情况。拟实施的技术措施方案经发承包双方确认后执行，应按照〔变更估价原则〕约定调整技术措施费，变更后承包人未将变更后的技术措施方案报送监理人（如果有）及发包人审批的，结算时技术措施费不予计取。</w:t>
      </w:r>
    </w:p>
    <w:p w14:paraId="04F84519">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（3）安全文明施工费按《重庆市建设工程安全文明施工费计取及使用管理规定（2024版）》（渝建管〔2024〕38号）等相关规定执行。</w:t>
      </w:r>
    </w:p>
    <w:p w14:paraId="47D5C4C5">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（4）规费：按《重庆市建设工程费用定额》（CQFYDE-2018）费用标准进行计算。</w:t>
      </w:r>
    </w:p>
    <w:p w14:paraId="5470801B">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（5）税金：包含增值税、城市维护建设税、教育费附加、地方教育附加以及环境保护税。其中增值税按《重庆市建设工程费用定额》（CQFYDE-2018）规定及配套文件执行。</w:t>
      </w:r>
    </w:p>
    <w:p w14:paraId="570BAAD2">
      <w:pPr>
        <w:spacing w:line="500" w:lineRule="exact"/>
        <w:ind w:firstLine="482" w:firstLineChars="200"/>
        <w:rPr>
          <w:rFonts w:ascii="宋体" w:hAnsi="宋体" w:eastAsia="宋体" w:cs="宋体"/>
          <w:b/>
          <w:sz w:val="24"/>
        </w:rPr>
      </w:pPr>
      <w:r>
        <w:rPr>
          <w:rFonts w:hint="eastAsia" w:ascii="宋体" w:hAnsi="宋体" w:eastAsia="宋体" w:cs="宋体"/>
          <w:b/>
          <w:sz w:val="24"/>
        </w:rPr>
        <w:t>第六条 结算原则</w:t>
      </w:r>
    </w:p>
    <w:p w14:paraId="58F3F8D5">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一）结算原则：执行固定包干总价，包干总价已包括承包人完成招标文件约定、招标施工图纸、招标清单约定范围内的包括但不限于人工费、材料费、机具设备使用费、管理费，利润，风险费、措施费（含安全文明措施费）、规费，税金等所有费用，包干总价在整个施工过程以及结算中不因市场价格波动和政策变动因素的影响而调整。</w:t>
      </w:r>
    </w:p>
    <w:p w14:paraId="669D1D74">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（二）结算总价=合同包干总价±设计变更、招标工程量清单漏项或新增项目价款±合同约定其它费用。 最终以发包人内容金额为准，发包人内审金额超过投标总报价最高限价的，则投标总报价最高限价为最终结算审核金额。</w:t>
      </w:r>
    </w:p>
    <w:p w14:paraId="5C441B81">
      <w:pPr>
        <w:pStyle w:val="27"/>
        <w:spacing w:line="360" w:lineRule="auto"/>
        <w:ind w:left="0" w:leftChars="0" w:firstLine="480" w:firstLineChars="200"/>
        <w:rPr>
          <w:rFonts w:ascii="宋体" w:hAnsi="宋体" w:eastAsia="宋体" w:cs="宋体"/>
          <w:kern w:val="0"/>
          <w:sz w:val="24"/>
        </w:rPr>
      </w:pPr>
      <w:r>
        <w:rPr>
          <w:rFonts w:hint="eastAsia" w:ascii="宋体" w:hAnsi="宋体" w:eastAsia="宋体" w:cs="宋体"/>
          <w:kern w:val="0"/>
          <w:sz w:val="24"/>
        </w:rPr>
        <w:t>工程变更、招标工程量清单漏项或新增项目价款按以下办法进行计价：按本合同5.3</w:t>
      </w:r>
      <w:r>
        <w:rPr>
          <w:rFonts w:ascii="宋体" w:hAnsi="宋体" w:eastAsia="宋体" w:cs="宋体"/>
          <w:kern w:val="0"/>
          <w:sz w:val="24"/>
        </w:rPr>
        <w:t xml:space="preserve"> </w:t>
      </w:r>
      <w:r>
        <w:rPr>
          <w:rFonts w:hint="eastAsia" w:ascii="宋体" w:hAnsi="宋体" w:eastAsia="宋体" w:cs="宋体"/>
          <w:kern w:val="0"/>
          <w:sz w:val="24"/>
        </w:rPr>
        <w:t>变更的估价原则执行。</w:t>
      </w:r>
    </w:p>
    <w:p w14:paraId="091D3CAF">
      <w:pPr>
        <w:pStyle w:val="8"/>
        <w:numPr>
          <w:ilvl w:val="0"/>
          <w:numId w:val="2"/>
        </w:numPr>
        <w:spacing w:after="0" w:line="360" w:lineRule="auto"/>
        <w:ind w:firstLine="480" w:firstLineChars="200"/>
        <w:rPr>
          <w:rFonts w:hint="eastAsia" w:ascii="宋体" w:hAnsi="宋体" w:eastAsia="宋体" w:cs="宋体"/>
          <w:kern w:val="0"/>
          <w:sz w:val="24"/>
        </w:rPr>
      </w:pPr>
      <w:r>
        <w:rPr>
          <w:rFonts w:ascii="宋体" w:hAnsi="宋体" w:eastAsia="宋体" w:cs="宋体"/>
          <w:kern w:val="0"/>
          <w:sz w:val="24"/>
        </w:rPr>
        <w:t>所有</w:t>
      </w:r>
      <w:r>
        <w:rPr>
          <w:rFonts w:hint="eastAsia" w:ascii="宋体" w:hAnsi="宋体" w:eastAsia="宋体" w:cs="宋体"/>
          <w:kern w:val="0"/>
          <w:sz w:val="24"/>
        </w:rPr>
        <w:t>设备采</w:t>
      </w:r>
      <w:r>
        <w:rPr>
          <w:rFonts w:ascii="宋体" w:hAnsi="宋体" w:eastAsia="宋体" w:cs="宋体"/>
          <w:kern w:val="0"/>
          <w:sz w:val="24"/>
        </w:rPr>
        <w:t>购价格中已</w:t>
      </w:r>
      <w:r>
        <w:rPr>
          <w:rFonts w:hint="eastAsia" w:ascii="宋体" w:hAnsi="宋体" w:eastAsia="宋体" w:cs="宋体"/>
          <w:kern w:val="0"/>
          <w:sz w:val="24"/>
        </w:rPr>
        <w:t>包括设</w:t>
      </w:r>
      <w:r>
        <w:rPr>
          <w:rFonts w:ascii="宋体" w:hAnsi="宋体" w:eastAsia="宋体" w:cs="宋体"/>
          <w:kern w:val="0"/>
          <w:sz w:val="24"/>
        </w:rPr>
        <w:t>备</w:t>
      </w:r>
      <w:r>
        <w:rPr>
          <w:rFonts w:hint="eastAsia" w:ascii="宋体" w:hAnsi="宋体" w:eastAsia="宋体" w:cs="宋体"/>
          <w:kern w:val="0"/>
          <w:sz w:val="24"/>
        </w:rPr>
        <w:t>采</w:t>
      </w:r>
      <w:r>
        <w:rPr>
          <w:rFonts w:ascii="宋体" w:hAnsi="宋体" w:eastAsia="宋体" w:cs="宋体"/>
          <w:kern w:val="0"/>
          <w:sz w:val="24"/>
        </w:rPr>
        <w:t>购</w:t>
      </w:r>
      <w:r>
        <w:rPr>
          <w:rFonts w:hint="eastAsia" w:ascii="宋体" w:hAnsi="宋体" w:eastAsia="宋体" w:cs="宋体"/>
          <w:kern w:val="0"/>
          <w:sz w:val="24"/>
        </w:rPr>
        <w:t>的包装、运输、保险、装卸、仓储，及其备品备件、特殊工具的供货，安装、调试、售后服务等所</w:t>
      </w:r>
      <w:r>
        <w:rPr>
          <w:rFonts w:ascii="宋体" w:hAnsi="宋体" w:eastAsia="宋体" w:cs="宋体"/>
          <w:kern w:val="0"/>
          <w:sz w:val="24"/>
        </w:rPr>
        <w:t>有</w:t>
      </w:r>
      <w:r>
        <w:rPr>
          <w:rFonts w:hint="eastAsia" w:ascii="宋体" w:hAnsi="宋体" w:eastAsia="宋体" w:cs="宋体"/>
          <w:kern w:val="0"/>
          <w:sz w:val="24"/>
        </w:rPr>
        <w:t>费用，</w:t>
      </w:r>
      <w:r>
        <w:rPr>
          <w:rFonts w:ascii="宋体" w:hAnsi="宋体" w:eastAsia="宋体" w:cs="宋体"/>
          <w:kern w:val="0"/>
          <w:sz w:val="24"/>
        </w:rPr>
        <w:t>发包人不再另行支付费用</w:t>
      </w:r>
      <w:r>
        <w:rPr>
          <w:rFonts w:hint="eastAsia" w:ascii="宋体" w:hAnsi="宋体" w:eastAsia="宋体" w:cs="宋体"/>
          <w:kern w:val="0"/>
          <w:sz w:val="24"/>
        </w:rPr>
        <w:t>。</w:t>
      </w:r>
    </w:p>
    <w:p w14:paraId="4145D5F4">
      <w:pPr>
        <w:pStyle w:val="8"/>
        <w:numPr>
          <w:ilvl w:val="0"/>
          <w:numId w:val="2"/>
        </w:numPr>
        <w:spacing w:after="0" w:line="360" w:lineRule="auto"/>
        <w:ind w:firstLine="480" w:firstLineChars="200"/>
        <w:rPr>
          <w:rFonts w:ascii="宋体" w:hAnsi="宋体" w:eastAsia="宋体" w:cs="宋体"/>
          <w:kern w:val="0"/>
          <w:sz w:val="24"/>
        </w:rPr>
      </w:pPr>
      <w:r>
        <w:rPr>
          <w:rFonts w:hint="eastAsia" w:ascii="宋体" w:hAnsi="宋体" w:eastAsia="宋体" w:cs="宋体"/>
          <w:kern w:val="0"/>
          <w:sz w:val="24"/>
        </w:rPr>
        <w:t>项目超高作业措施费，防护费，降效费，保险费等所有费用由投标人在投标报价中综合考虑，招标人不再支付任何费用，实施过程安全责任均由中标人承担</w:t>
      </w:r>
      <w:r>
        <w:rPr>
          <w:rFonts w:hint="eastAsia" w:ascii="宋体" w:hAnsi="宋体" w:eastAsia="宋体" w:cs="宋体"/>
          <w:kern w:val="0"/>
          <w:sz w:val="24"/>
          <w:lang w:eastAsia="zh-CN"/>
        </w:rPr>
        <w:t>。</w:t>
      </w:r>
    </w:p>
    <w:p w14:paraId="4C1FDEA4">
      <w:pPr>
        <w:pStyle w:val="8"/>
        <w:numPr>
          <w:ilvl w:val="0"/>
          <w:numId w:val="2"/>
        </w:numPr>
        <w:spacing w:after="0" w:line="360" w:lineRule="auto"/>
        <w:ind w:firstLine="480" w:firstLineChars="200"/>
      </w:pPr>
      <w:r>
        <w:rPr>
          <w:rFonts w:hint="eastAsia" w:ascii="宋体" w:hAnsi="宋体" w:eastAsia="宋体" w:cs="宋体"/>
          <w:kern w:val="0"/>
          <w:sz w:val="24"/>
        </w:rPr>
        <w:t>施工过程成品保护以及对第三方的设施设备等保护费用均由投标人在投标报价中综合考虑，招标人不再另行计取和支付，对项目成品没第三方设施设备造成损坏的，</w:t>
      </w:r>
    </w:p>
    <w:p w14:paraId="0802D247">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w:t>
      </w:r>
      <w:r>
        <w:rPr>
          <w:rFonts w:hint="eastAsia" w:ascii="宋体" w:hAnsi="宋体" w:eastAsia="宋体" w:cs="宋体"/>
          <w:kern w:val="0"/>
          <w:sz w:val="24"/>
          <w:lang w:val="en-US" w:eastAsia="zh-CN"/>
        </w:rPr>
        <w:t>六</w:t>
      </w:r>
      <w:r>
        <w:rPr>
          <w:rFonts w:hint="eastAsia" w:ascii="宋体" w:hAnsi="宋体" w:eastAsia="宋体" w:cs="宋体"/>
          <w:kern w:val="0"/>
          <w:sz w:val="24"/>
        </w:rPr>
        <w:t>）合同约定其他费用：</w:t>
      </w:r>
      <w:r>
        <w:rPr>
          <w:rFonts w:ascii="宋体" w:hAnsi="宋体" w:eastAsia="宋体" w:cs="宋体"/>
          <w:kern w:val="0"/>
          <w:sz w:val="24"/>
        </w:rPr>
        <w:t xml:space="preserve"> </w:t>
      </w:r>
    </w:p>
    <w:p w14:paraId="53C783BF">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1）土方调配方案：本项目挖方除不可利用土（清表、淤泥等）剩余挖方量必须用于本项目回填，弃渣弃土、弃置土石方均应提前给发包人报土石方方案，方案由发包人审核后执行，如承包人弃渣弃土、弃置土石方方案未按审批的方案执行，产生的弃置工程量不予计算费用，由承包人自行承担。</w:t>
      </w:r>
      <w:bookmarkStart w:id="42" w:name="_GoBack"/>
      <w:bookmarkEnd w:id="42"/>
    </w:p>
    <w:p w14:paraId="54538154">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2)根据本项目的实际情况，不可利用土方余方弃置运距由发包人、承包人双方及监理、跟审单位（若有）共同确认，投标人不得乱弃渣。投标人应充分考虑弃渣的所有费用（包含但不限于如渣场的堆放、平整、安全、稳定、管理等），纳入投标报价内。投标人必须将余方或建筑垃圾弃置到确定的场地内，如未按规定弃置到确定的渣场的，发包人有权从结算款中扣除该部分工程量挖方、运输及渣场费用，同时承包人需向发包人按合同总价款的3%支付违约金。不可利用土方弃方外运工程量及渣场费（如果有）均按挖方天然密实体积（地表植物不另行计量），不计松散系数，相关费用承包人在土石方开挖、余方弃置、渣场费报价中综合考虑。</w:t>
      </w:r>
    </w:p>
    <w:p w14:paraId="0A71C01E">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3)回填要求：回填石方粒径必须满足规范要求，承包人应在投标价中综合考虑解小费用，如因承包人回填料粒径达不到要求及规定，影响回填密实度的，结算时清单项一般土石方开挖结算综合单价按一般土石方开挖中标综合单价扣减按变更估价原则组价确定的石方解小综合单价后办理结算。</w:t>
      </w:r>
    </w:p>
    <w:p w14:paraId="31694FD7">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4）投标人应充分考虑因土石方挖填平衡造成的场内转运（包含多次转运）及周边临时堆场等情况；且临时堆场不得影响其他项目的实施，并充分考虑开挖的土石方如不符合回填要求并在场地内堆放、晾晒、解小等至满足设计填料要求的情况，且回填必须满足设计、规范要求，均由投标人自行测算此费用，纳入相关土石方综合单价报价中。</w:t>
      </w:r>
    </w:p>
    <w:p w14:paraId="6B6270B5">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5）凡开挖场地内余料能满足或经过解小、晾晒等措施处理后能满足回填要求的，必须用于本工程回填,如投标人将可用于本工程回填的土石方外运，则此部分土石方量外运费用及渣场费用（如果有）不计取，同时扣减相同工程量的土方外借费用及回填费用（如果有）。承包人必须在发包人指定取土场取土，发包人全程动态跟踪，如发现承包人未在承包人指定地点取土，发包人有权单方面解决合同，同时承包人已发生的程量由承包人自行负责 ，发包不承担责任和支付费用，同时承包人已回填的工程量需按30元/m3支付发包人违约金。</w:t>
      </w:r>
    </w:p>
    <w:p w14:paraId="0EE7FD4D">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6）因招标人建设需要，场地设计标高及原始地貌、招标工程量均为暂定值，进场施工前承包人应会同监理、发包人、跟踪审计单位现场测量或发包人委托的第三方专业测量单位对地貌进行复测，并根据现场复测地貌作为结算原地貌，由招标人根据土石方平衡优化方案书面确定最终平场设计标高，如招标人确定的最终平场设计标高与招标施工图确定的平场设计标高不一致时，以最终确定的平场设计标高为施工依据，因此产生的施工范围调整及相关工程量调减/增，投标人须无条件接受并不得向招标人发起索赔，如投标人拒绝的，视为违约、按违约条款处理。</w:t>
      </w:r>
    </w:p>
    <w:p w14:paraId="7D361B31">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7）本项目施工范围内如存在高压线及综合管网改迁的，投标人应充分考虑因高压线及综合管网的迁改引起的土石方调配方案变更、施工范围变化、工程量减少/增加、工期顺延等风险，其费用考虑在投标报价中，中标后，投标人不能因高压线及综合管网的迁改引起的土石方调配方案变更、施工范围变化、工程量减少/增加、工期顺延等向发包人提出价格调整或索赔。在施工过程中承包人应对场地内已有管线及设施进行保护，存在管线交叉的，施工时应予以避让，相关费用承包人应在投标报价时综合考虑（水、电、气、讯等产权单位有特殊要求的除外），不另行计取；需管线保护及管线交叉的部分以及其他按规定需人工开挖的部分，承包人须采用人工开挖，如承包人未采用人工开挖及管线保护的，造成已建管线及建（构）物、设施损坏的，责任由承包人承担。</w:t>
      </w:r>
    </w:p>
    <w:p w14:paraId="51D9491F">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8）与项目范围内及施工红线周边正在实施的其他施工单位相互协调的费用由承包人承担，不另行计取；承包人应积极配合发包人的管线迁改工作，并为其迁改工作提供便利，相关费用不另行计取。</w:t>
      </w:r>
    </w:p>
    <w:p w14:paraId="417D00D5">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9）由于进度款支付比例、审计时间较长等因素产生的资金占用、融资、垫资等风险由承包人承担，不另行计取。</w:t>
      </w:r>
    </w:p>
    <w:p w14:paraId="36BF6272">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10）高温补贴和迎接各类检查及疫情防控发生的费用由承包人在投标综合单价中考虑，不另行计取。</w:t>
      </w:r>
    </w:p>
    <w:p w14:paraId="39B549FF">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11）因建设需求，建设单位调整建设范围或内容的，引起的施工范围调整，不作为承包人索赔的依据。</w:t>
      </w:r>
    </w:p>
    <w:p w14:paraId="136CAE41">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12）项目中不同单位工程中分部分项名称相同、项目特征相同、计量单位相同、公布的清单综合单价最高限价也相同的清单项在不同单位工程中投标综合单价不一致的，结算时所有单位工程中的此项清单均按所有单位工程中此项清单最低综合单价报价办理结算（设计变更同样适用此条款）。</w:t>
      </w:r>
    </w:p>
    <w:p w14:paraId="6C7E71B1">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13）若中标清单中，承包人的清单综合单价为负数，结算时，如此分部分项清单实际完成工程量小于招标清单工程量或未实施的，则按招标清单工程量乘以中标清单全费用综合单价办理结算，如实际完成工程量大于招标清单工程量，则按实际完成工程量乘以中标清单全费用综合单价办理结算（设计变更同样适用此条款）（按废标处理的除外）。</w:t>
      </w:r>
    </w:p>
    <w:p w14:paraId="1187A2CB">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14）承包人须接受发包人土石方调配方案，不得因运距的增减、工程量的调整、施工范围、取土借土点的调整向发包人提出索赔，同时如承包人不接受发包人的土石方调配方案，视承包人违约，如承包人不当得利的，将按不当得利全额的3倍赔偿发包人，同时支付发包人合同总金额3%的违约金。</w:t>
      </w:r>
    </w:p>
    <w:p w14:paraId="37DC4C0E">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15）本项目采用全费用固定单价合同，除以上有特殊约定外，结算时不因工程量的增减调整中标全费用综合单价。</w:t>
      </w:r>
    </w:p>
    <w:p w14:paraId="53732B34">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16）因承包人原因造成临时设施及围墙、施工道路等二次及多次安拆、搬运、搭设等内容的费用在投标报价中综合考虑， 不另行计取。</w:t>
      </w:r>
    </w:p>
    <w:p w14:paraId="47D8A2C7">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 xml:space="preserve">17）承包人施工场地以及相邻出入口的施工道路的维修、场地和道路的排水、维修在投标报价中综合考虑，不另行计取。 </w:t>
      </w:r>
    </w:p>
    <w:p w14:paraId="7E6FAB0A">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 xml:space="preserve">18）承包人按政府主管部门的规定办理并取得道路通行权、修建场外设施权，按要求对道路和交通 设施维修、维护、养护和管理，同时中标人还需按有关规定对超大件和超重件运输临时加固改造以及办理相关手续等发生的所有费用在投标报价中综合考虑，不另行计取。 </w:t>
      </w:r>
    </w:p>
    <w:p w14:paraId="4042F214">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 xml:space="preserve">19）承包人应遵守政府有关主管部门对施工噪音以及环境保护和安全生产等的管理规定，并按规定 办理有关手续所发生的费用在投标报价中综合考虑，不另行计取。 </w:t>
      </w:r>
    </w:p>
    <w:p w14:paraId="67278E0D">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20）工程材料、成品、半成品的场内二次或多次搬运费、采保费在投标报价中综合考虑，不另行计取 。</w:t>
      </w:r>
    </w:p>
    <w:p w14:paraId="19BC7DBE">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21)承包人需为发包人另行分包的其他施工单位提供施工用场地、共用设施、工作面及相关服务等在投标报价中综合考虑， 不另行计取总承包服务费。</w:t>
      </w:r>
    </w:p>
    <w:p w14:paraId="3221CDF9">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22）现场生活垃圾清运（含弃渣费）均由承包人自行承担。</w:t>
      </w:r>
    </w:p>
    <w:p w14:paraId="3C3701CF">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23）配合工程质量检测取样送检及为送检单位在施工现场开展有关工作所发生的费用由承包人自行承担。</w:t>
      </w:r>
    </w:p>
    <w:p w14:paraId="4F6F9EDF">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24）承包人应先到工地踏勘以充分了解工地位置、情况、进场便道、储存空间、装卸限制、周边环境及任何其它足以影响承包价格的情况任何因忽视或误解招标范围、图示内容和工地情况而导致的索赔或工期延长申请将不获批准。</w:t>
      </w:r>
    </w:p>
    <w:p w14:paraId="1268711E">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25）在本工程施工期限内发生的工程机械、人员伤亡等事故等承包人承担责任，发包人不承担任何责任。</w:t>
      </w:r>
    </w:p>
    <w:p w14:paraId="4037A758">
      <w:pPr>
        <w:spacing w:line="360" w:lineRule="auto"/>
        <w:ind w:firstLine="480" w:firstLineChars="200"/>
        <w:rPr>
          <w:rFonts w:ascii="宋体" w:hAnsi="宋体" w:eastAsia="宋体" w:cs="宋体"/>
          <w:kern w:val="0"/>
          <w:sz w:val="24"/>
        </w:rPr>
      </w:pPr>
      <w:r>
        <w:rPr>
          <w:rFonts w:hint="eastAsia" w:ascii="宋体" w:hAnsi="宋体" w:eastAsia="宋体" w:cs="宋体"/>
          <w:kern w:val="0"/>
          <w:sz w:val="24"/>
        </w:rPr>
        <w:t>备注：1.因发包人要求变更部分、重大设计变更，承包人未实施的工作内容，经发包人现场代表及监理单位的监理工程师签字认可方可作为结算依据。</w:t>
      </w:r>
    </w:p>
    <w:p w14:paraId="2F8654DA">
      <w:pPr>
        <w:spacing w:line="360" w:lineRule="auto"/>
        <w:ind w:firstLine="482" w:firstLineChars="200"/>
        <w:rPr>
          <w:rFonts w:ascii="Calibri" w:hAnsi="Calibri" w:eastAsia="宋体" w:cs="宋体"/>
          <w:b/>
          <w:szCs w:val="24"/>
        </w:rPr>
      </w:pPr>
      <w:r>
        <w:rPr>
          <w:rFonts w:hint="eastAsia" w:ascii="宋体" w:hAnsi="宋体" w:eastAsia="宋体" w:cs="宋体"/>
          <w:b/>
          <w:bCs/>
          <w:kern w:val="0"/>
          <w:sz w:val="24"/>
        </w:rPr>
        <w:t xml:space="preserve">第七条 </w:t>
      </w:r>
      <w:r>
        <w:rPr>
          <w:rFonts w:ascii="宋体" w:hAnsi="宋体" w:eastAsia="宋体" w:cs="宋体"/>
          <w:b/>
          <w:bCs/>
          <w:kern w:val="0"/>
          <w:sz w:val="24"/>
        </w:rPr>
        <w:t>付款方式</w:t>
      </w:r>
    </w:p>
    <w:p w14:paraId="36C59093">
      <w:pPr>
        <w:spacing w:line="580" w:lineRule="exact"/>
        <w:ind w:firstLine="480" w:firstLineChars="200"/>
        <w:rPr>
          <w:rFonts w:ascii="宋体" w:hAnsi="宋体" w:eastAsia="宋体" w:cs="宋体"/>
          <w:kern w:val="0"/>
          <w:sz w:val="24"/>
          <w:highlight w:val="yellow"/>
        </w:rPr>
      </w:pPr>
      <w:r>
        <w:rPr>
          <w:rFonts w:hint="eastAsia" w:ascii="宋体" w:hAnsi="宋体" w:eastAsia="宋体" w:cs="宋体"/>
          <w:kern w:val="0"/>
          <w:sz w:val="24"/>
          <w:highlight w:val="yellow"/>
        </w:rPr>
        <w:t>（一）预付款：合同签订生效且投标人启动建设后5个工作日内，甲方向丙方支付合同价款的</w:t>
      </w:r>
      <w:r>
        <w:rPr>
          <w:rFonts w:ascii="宋体" w:hAnsi="宋体" w:eastAsia="宋体" w:cs="宋体"/>
          <w:kern w:val="0"/>
          <w:sz w:val="24"/>
          <w:highlight w:val="yellow"/>
        </w:rPr>
        <w:t>30</w:t>
      </w:r>
      <w:r>
        <w:rPr>
          <w:rFonts w:hint="eastAsia" w:ascii="宋体" w:hAnsi="宋体" w:eastAsia="宋体" w:cs="宋体"/>
          <w:kern w:val="0"/>
          <w:sz w:val="24"/>
          <w:highlight w:val="yellow"/>
        </w:rPr>
        <w:t>%（已包括开工前应支付的安全文明施工费）；</w:t>
      </w:r>
      <w:r>
        <w:rPr>
          <w:rFonts w:ascii="宋体" w:hAnsi="宋体" w:eastAsia="宋体" w:cs="宋体"/>
          <w:kern w:val="0"/>
          <w:sz w:val="24"/>
          <w:highlight w:val="yellow"/>
        </w:rPr>
        <w:t xml:space="preserve"> </w:t>
      </w:r>
    </w:p>
    <w:p w14:paraId="043AB311">
      <w:pPr>
        <w:spacing w:line="580" w:lineRule="exact"/>
        <w:ind w:firstLine="480" w:firstLineChars="200"/>
        <w:rPr>
          <w:rFonts w:ascii="宋体" w:hAnsi="宋体" w:eastAsia="宋体" w:cs="宋体"/>
          <w:kern w:val="0"/>
          <w:sz w:val="24"/>
          <w:highlight w:val="yellow"/>
        </w:rPr>
      </w:pPr>
      <w:r>
        <w:rPr>
          <w:rFonts w:hint="eastAsia" w:ascii="宋体" w:hAnsi="宋体" w:eastAsia="宋体" w:cs="宋体"/>
          <w:kern w:val="0"/>
          <w:sz w:val="24"/>
          <w:highlight w:val="yellow"/>
        </w:rPr>
        <w:t>（二）工程进度款支付:投标人完成形像进度产值的50%后</w:t>
      </w:r>
      <w:r>
        <w:rPr>
          <w:rFonts w:ascii="宋体" w:hAnsi="宋体" w:eastAsia="宋体" w:cs="宋体"/>
          <w:kern w:val="0"/>
          <w:sz w:val="24"/>
          <w:highlight w:val="yellow"/>
        </w:rPr>
        <w:t>5</w:t>
      </w:r>
      <w:r>
        <w:rPr>
          <w:rFonts w:hint="eastAsia" w:ascii="宋体" w:hAnsi="宋体" w:eastAsia="宋体" w:cs="宋体"/>
          <w:kern w:val="0"/>
          <w:sz w:val="24"/>
          <w:highlight w:val="yellow"/>
        </w:rPr>
        <w:t>个工作日内，招标人累计向投标人支付至合同价格的5</w:t>
      </w:r>
      <w:r>
        <w:rPr>
          <w:rFonts w:ascii="宋体" w:hAnsi="宋体" w:eastAsia="宋体" w:cs="宋体"/>
          <w:kern w:val="0"/>
          <w:sz w:val="24"/>
          <w:highlight w:val="yellow"/>
        </w:rPr>
        <w:t>0%；</w:t>
      </w:r>
    </w:p>
    <w:p w14:paraId="3B79D876">
      <w:pPr>
        <w:spacing w:line="580" w:lineRule="exact"/>
        <w:ind w:firstLine="480" w:firstLineChars="200"/>
        <w:rPr>
          <w:rFonts w:ascii="宋体" w:hAnsi="宋体" w:eastAsia="宋体" w:cs="宋体"/>
          <w:kern w:val="0"/>
          <w:sz w:val="24"/>
          <w:highlight w:val="yellow"/>
        </w:rPr>
      </w:pPr>
      <w:r>
        <w:rPr>
          <w:rFonts w:hint="eastAsia" w:ascii="宋体" w:hAnsi="宋体" w:eastAsia="宋体" w:cs="宋体"/>
          <w:kern w:val="0"/>
          <w:sz w:val="24"/>
          <w:highlight w:val="yellow"/>
        </w:rPr>
        <w:t>（三）项目完成，经招标人竣工验收合格后3个工作日内，招标人向投标人累计支付至合同价款的8</w:t>
      </w:r>
      <w:r>
        <w:rPr>
          <w:rFonts w:ascii="宋体" w:hAnsi="宋体" w:eastAsia="宋体" w:cs="宋体"/>
          <w:kern w:val="0"/>
          <w:sz w:val="24"/>
          <w:highlight w:val="yellow"/>
        </w:rPr>
        <w:t>0% ；</w:t>
      </w:r>
    </w:p>
    <w:p w14:paraId="0993FCEA">
      <w:pPr>
        <w:pStyle w:val="2"/>
        <w:jc w:val="left"/>
        <w:rPr>
          <w:rFonts w:hint="eastAsia" w:ascii="宋体" w:hAnsi="宋体" w:eastAsia="宋体" w:cs="宋体"/>
          <w:b w:val="0"/>
          <w:kern w:val="0"/>
          <w:sz w:val="24"/>
          <w:highlight w:val="yellow"/>
        </w:rPr>
      </w:pPr>
      <w:r>
        <w:rPr>
          <w:rFonts w:hint="eastAsia" w:ascii="宋体" w:hAnsi="宋体" w:eastAsia="宋体" w:cs="宋体"/>
          <w:b w:val="0"/>
          <w:kern w:val="0"/>
          <w:sz w:val="24"/>
          <w:highlight w:val="yellow"/>
        </w:rPr>
        <w:t xml:space="preserve"> </w:t>
      </w:r>
      <w:r>
        <w:rPr>
          <w:rFonts w:ascii="宋体" w:hAnsi="宋体" w:eastAsia="宋体" w:cs="宋体"/>
          <w:b w:val="0"/>
          <w:kern w:val="0"/>
          <w:sz w:val="24"/>
          <w:highlight w:val="yellow"/>
        </w:rPr>
        <w:t xml:space="preserve">   （四）经招标人内审完成后，招标人向投标人累计支付至</w:t>
      </w:r>
      <w:r>
        <w:rPr>
          <w:rFonts w:hint="eastAsia" w:ascii="宋体" w:hAnsi="宋体" w:eastAsia="宋体" w:cs="宋体"/>
          <w:b w:val="0"/>
          <w:kern w:val="0"/>
          <w:sz w:val="24"/>
          <w:highlight w:val="yellow"/>
        </w:rPr>
        <w:t>内</w:t>
      </w:r>
      <w:r>
        <w:rPr>
          <w:rFonts w:ascii="宋体" w:hAnsi="宋体" w:eastAsia="宋体" w:cs="宋体"/>
          <w:b w:val="0"/>
          <w:kern w:val="0"/>
          <w:sz w:val="24"/>
          <w:highlight w:val="yellow"/>
        </w:rPr>
        <w:t>审金额的</w:t>
      </w:r>
      <w:r>
        <w:rPr>
          <w:rFonts w:hint="eastAsia" w:ascii="宋体" w:hAnsi="宋体" w:eastAsia="宋体" w:cs="宋体"/>
          <w:b w:val="0"/>
          <w:kern w:val="0"/>
          <w:sz w:val="24"/>
          <w:highlight w:val="yellow"/>
        </w:rPr>
        <w:t>9</w:t>
      </w:r>
      <w:r>
        <w:rPr>
          <w:rFonts w:ascii="宋体" w:hAnsi="宋体" w:eastAsia="宋体" w:cs="宋体"/>
          <w:b w:val="0"/>
          <w:kern w:val="0"/>
          <w:sz w:val="24"/>
          <w:highlight w:val="yellow"/>
        </w:rPr>
        <w:t>7%，两年缺陷责任期满后</w:t>
      </w:r>
      <w:r>
        <w:rPr>
          <w:rFonts w:hint="eastAsia" w:ascii="宋体" w:hAnsi="宋体" w:eastAsia="宋体" w:cs="宋体"/>
          <w:b w:val="0"/>
          <w:kern w:val="0"/>
          <w:sz w:val="24"/>
          <w:highlight w:val="yellow"/>
        </w:rPr>
        <w:t>1</w:t>
      </w:r>
      <w:r>
        <w:rPr>
          <w:rFonts w:ascii="宋体" w:hAnsi="宋体" w:eastAsia="宋体" w:cs="宋体"/>
          <w:b w:val="0"/>
          <w:kern w:val="0"/>
          <w:sz w:val="24"/>
          <w:highlight w:val="yellow"/>
        </w:rPr>
        <w:t>0个工作日内，无违约情况的，招标人向投标人无息支付剩余</w:t>
      </w:r>
      <w:r>
        <w:rPr>
          <w:rFonts w:hint="eastAsia" w:ascii="宋体" w:hAnsi="宋体" w:eastAsia="宋体" w:cs="宋体"/>
          <w:b w:val="0"/>
          <w:kern w:val="0"/>
          <w:sz w:val="24"/>
          <w:highlight w:val="yellow"/>
        </w:rPr>
        <w:t>价款。</w:t>
      </w:r>
    </w:p>
    <w:p w14:paraId="1A0539C4">
      <w:pPr>
        <w:spacing w:line="580" w:lineRule="exact"/>
        <w:ind w:firstLine="480" w:firstLineChars="200"/>
        <w:rPr>
          <w:rFonts w:ascii="宋体" w:hAnsi="宋体" w:eastAsia="宋体" w:cs="宋体"/>
          <w:kern w:val="0"/>
          <w:sz w:val="24"/>
          <w:highlight w:val="yellow"/>
        </w:rPr>
      </w:pPr>
      <w:r>
        <w:rPr>
          <w:rFonts w:hint="eastAsia" w:ascii="宋体" w:hAnsi="宋体" w:eastAsia="宋体" w:cs="宋体"/>
          <w:kern w:val="0"/>
          <w:sz w:val="24"/>
          <w:highlight w:val="yellow"/>
        </w:rPr>
        <w:t>（五）每次付款前，投标人应开具等额、合法、有效的增值税专用发票，因投标人提供的发票不符合要求造成的支付延误，责任由投标人承担。</w:t>
      </w:r>
    </w:p>
    <w:p w14:paraId="25D80E68">
      <w:pPr>
        <w:spacing w:line="580" w:lineRule="exact"/>
        <w:ind w:firstLine="480" w:firstLineChars="200"/>
        <w:rPr>
          <w:rFonts w:ascii="宋体" w:hAnsi="宋体" w:eastAsia="宋体" w:cs="宋体"/>
          <w:kern w:val="0"/>
          <w:sz w:val="24"/>
          <w:highlight w:val="yellow"/>
        </w:rPr>
      </w:pPr>
      <w:r>
        <w:rPr>
          <w:rFonts w:hint="eastAsia" w:ascii="宋体" w:hAnsi="宋体" w:eastAsia="宋体" w:cs="宋体"/>
          <w:kern w:val="0"/>
          <w:sz w:val="24"/>
          <w:highlight w:val="yellow"/>
        </w:rPr>
        <w:t>（六）本项目履约保证金：招标人发出中标通知书后5日内，中标人应按中标总金额的10%向发包人缴纳履约保证金，缴纳方式为银行转帐或不可撤销的见索即付银行保函，以银行转账方式缴纳的履约保证金必须从投标人的基本帐户转出，且银行转帐、银行保函均需注明“钢结构加固工程履约保证金”，工程竣工验收合格后5个工作日内退还，均不计息。中标人未按规定的时间、金额、方式缴纳履约保证金的，招标人不与其签订施工合同，投标保证金不予退还。（收款单位：九龙现代（重庆）园区运营管理有限公司；开户行：农商行西彭支行；账号0414010120010013206）</w:t>
      </w:r>
    </w:p>
    <w:p w14:paraId="7D2458BA">
      <w:pPr>
        <w:spacing w:line="500" w:lineRule="exact"/>
        <w:ind w:firstLine="480" w:firstLineChars="200"/>
        <w:rPr>
          <w:rFonts w:ascii="宋体" w:hAnsi="宋体" w:eastAsia="宋体" w:cs="宋体"/>
          <w:kern w:val="0"/>
          <w:sz w:val="24"/>
        </w:rPr>
      </w:pPr>
      <w:r>
        <w:rPr>
          <w:rFonts w:hint="eastAsia" w:ascii="宋体" w:hAnsi="宋体" w:eastAsia="宋体" w:cs="宋体"/>
          <w:kern w:val="0"/>
          <w:sz w:val="24"/>
          <w:highlight w:val="yellow"/>
        </w:rPr>
        <w:t>（七）</w:t>
      </w:r>
      <w:r>
        <w:rPr>
          <w:rFonts w:ascii="宋体" w:hAnsi="宋体" w:eastAsia="宋体" w:cs="宋体"/>
          <w:kern w:val="0"/>
          <w:sz w:val="24"/>
          <w:highlight w:val="yellow"/>
        </w:rPr>
        <w:t>承</w:t>
      </w:r>
      <w:r>
        <w:rPr>
          <w:rFonts w:hint="eastAsia" w:ascii="宋体" w:hAnsi="宋体" w:eastAsia="宋体" w:cs="宋体"/>
          <w:kern w:val="0"/>
          <w:sz w:val="24"/>
          <w:highlight w:val="yellow"/>
        </w:rPr>
        <w:t>包</w:t>
      </w:r>
      <w:r>
        <w:rPr>
          <w:rFonts w:ascii="宋体" w:hAnsi="宋体" w:eastAsia="宋体" w:cs="宋体"/>
          <w:kern w:val="0"/>
          <w:sz w:val="24"/>
          <w:highlight w:val="yellow"/>
        </w:rPr>
        <w:t>人</w:t>
      </w:r>
      <w:r>
        <w:rPr>
          <w:rFonts w:hint="eastAsia" w:ascii="宋体" w:hAnsi="宋体" w:eastAsia="宋体" w:cs="宋体"/>
          <w:kern w:val="0"/>
          <w:sz w:val="24"/>
          <w:highlight w:val="yellow"/>
        </w:rPr>
        <w:t>必</w:t>
      </w:r>
      <w:r>
        <w:rPr>
          <w:rFonts w:ascii="宋体" w:hAnsi="宋体" w:eastAsia="宋体" w:cs="宋体"/>
          <w:kern w:val="0"/>
          <w:sz w:val="24"/>
          <w:highlight w:val="yellow"/>
        </w:rPr>
        <w:t>须按</w:t>
      </w:r>
      <w:r>
        <w:rPr>
          <w:rFonts w:hint="eastAsia" w:ascii="宋体" w:hAnsi="宋体" w:eastAsia="宋体" w:cs="宋体"/>
          <w:kern w:val="0"/>
          <w:sz w:val="24"/>
          <w:highlight w:val="yellow"/>
        </w:rPr>
        <w:t>相关</w:t>
      </w:r>
      <w:r>
        <w:rPr>
          <w:rFonts w:ascii="宋体" w:hAnsi="宋体" w:eastAsia="宋体" w:cs="宋体"/>
          <w:kern w:val="0"/>
          <w:sz w:val="24"/>
          <w:highlight w:val="yellow"/>
        </w:rPr>
        <w:t>文件</w:t>
      </w:r>
      <w:r>
        <w:rPr>
          <w:rFonts w:hint="eastAsia" w:ascii="宋体" w:hAnsi="宋体" w:eastAsia="宋体" w:cs="宋体"/>
          <w:kern w:val="0"/>
          <w:sz w:val="24"/>
          <w:highlight w:val="yellow"/>
        </w:rPr>
        <w:t>规定</w:t>
      </w:r>
      <w:r>
        <w:rPr>
          <w:rFonts w:ascii="宋体" w:hAnsi="宋体" w:eastAsia="宋体" w:cs="宋体"/>
          <w:kern w:val="0"/>
          <w:sz w:val="24"/>
          <w:highlight w:val="yellow"/>
        </w:rPr>
        <w:t>支付</w:t>
      </w:r>
      <w:r>
        <w:rPr>
          <w:rFonts w:hint="eastAsia" w:ascii="宋体" w:hAnsi="宋体" w:eastAsia="宋体" w:cs="宋体"/>
          <w:kern w:val="0"/>
          <w:sz w:val="24"/>
          <w:highlight w:val="yellow"/>
        </w:rPr>
        <w:t>农</w:t>
      </w:r>
      <w:r>
        <w:rPr>
          <w:rFonts w:ascii="宋体" w:hAnsi="宋体" w:eastAsia="宋体" w:cs="宋体"/>
          <w:kern w:val="0"/>
          <w:sz w:val="24"/>
          <w:highlight w:val="yellow"/>
        </w:rPr>
        <w:t>民工工资，否则引起的法律责任由承包人承担</w:t>
      </w:r>
      <w:r>
        <w:rPr>
          <w:rFonts w:hint="eastAsia" w:ascii="宋体" w:hAnsi="宋体" w:eastAsia="宋体" w:cs="宋体"/>
          <w:kern w:val="0"/>
          <w:sz w:val="24"/>
          <w:highlight w:val="yellow"/>
        </w:rPr>
        <w:t>。同时</w:t>
      </w:r>
      <w:r>
        <w:rPr>
          <w:rFonts w:ascii="宋体" w:hAnsi="宋体" w:eastAsia="宋体" w:cs="宋体"/>
          <w:kern w:val="0"/>
          <w:sz w:val="24"/>
          <w:highlight w:val="yellow"/>
        </w:rPr>
        <w:t>承包人必须按渝人社发</w:t>
      </w:r>
      <w:r>
        <w:rPr>
          <w:rFonts w:hint="eastAsia" w:ascii="宋体" w:hAnsi="宋体" w:eastAsia="宋体" w:cs="宋体"/>
          <w:kern w:val="0"/>
          <w:sz w:val="24"/>
          <w:highlight w:val="yellow"/>
        </w:rPr>
        <w:t>[</w:t>
      </w:r>
      <w:r>
        <w:rPr>
          <w:rFonts w:ascii="宋体" w:hAnsi="宋体" w:eastAsia="宋体" w:cs="宋体"/>
          <w:kern w:val="0"/>
          <w:sz w:val="24"/>
          <w:highlight w:val="yellow"/>
        </w:rPr>
        <w:t>2022</w:t>
      </w:r>
      <w:r>
        <w:rPr>
          <w:rFonts w:hint="eastAsia" w:ascii="宋体" w:hAnsi="宋体" w:eastAsia="宋体" w:cs="宋体"/>
          <w:kern w:val="0"/>
          <w:sz w:val="24"/>
          <w:highlight w:val="yellow"/>
        </w:rPr>
        <w:t>]</w:t>
      </w:r>
      <w:r>
        <w:rPr>
          <w:rFonts w:ascii="宋体" w:hAnsi="宋体" w:eastAsia="宋体" w:cs="宋体"/>
          <w:kern w:val="0"/>
          <w:sz w:val="24"/>
          <w:highlight w:val="yellow"/>
        </w:rPr>
        <w:t>5</w:t>
      </w:r>
      <w:r>
        <w:rPr>
          <w:rFonts w:hint="eastAsia" w:ascii="宋体" w:hAnsi="宋体" w:eastAsia="宋体" w:cs="宋体"/>
          <w:kern w:val="0"/>
          <w:sz w:val="24"/>
          <w:highlight w:val="yellow"/>
        </w:rPr>
        <w:t>号</w:t>
      </w:r>
      <w:r>
        <w:rPr>
          <w:rFonts w:ascii="宋体" w:hAnsi="宋体" w:eastAsia="宋体" w:cs="宋体"/>
          <w:kern w:val="0"/>
          <w:sz w:val="24"/>
          <w:highlight w:val="yellow"/>
        </w:rPr>
        <w:t>文及相关规定执行。</w:t>
      </w:r>
    </w:p>
    <w:p w14:paraId="73DDB569">
      <w:pPr>
        <w:spacing w:line="500" w:lineRule="exact"/>
        <w:ind w:firstLine="480" w:firstLineChars="200"/>
        <w:rPr>
          <w:rFonts w:ascii="宋体" w:hAnsi="宋体" w:eastAsia="宋体" w:cs="宋体"/>
          <w:kern w:val="0"/>
          <w:sz w:val="24"/>
        </w:rPr>
      </w:pPr>
      <w:r>
        <w:rPr>
          <w:rFonts w:hint="eastAsia" w:ascii="宋体" w:hAnsi="宋体" w:eastAsia="宋体" w:cs="宋体"/>
          <w:kern w:val="0"/>
          <w:sz w:val="24"/>
        </w:rPr>
        <w:t>（八）低价风险担保费用：</w:t>
      </w:r>
    </w:p>
    <w:p w14:paraId="455A38D6">
      <w:pPr>
        <w:spacing w:line="500" w:lineRule="exact"/>
        <w:ind w:firstLine="720" w:firstLineChars="300"/>
        <w:rPr>
          <w:rFonts w:ascii="宋体" w:hAnsi="宋体" w:eastAsia="宋体" w:cs="宋体"/>
          <w:kern w:val="0"/>
          <w:sz w:val="24"/>
        </w:rPr>
      </w:pPr>
      <w:r>
        <w:rPr>
          <w:rFonts w:hint="eastAsia" w:ascii="宋体" w:hAnsi="宋体" w:eastAsia="宋体" w:cs="宋体"/>
          <w:kern w:val="0"/>
          <w:sz w:val="24"/>
        </w:rPr>
        <w:t>1.本项目低风险担保费用</w:t>
      </w:r>
      <w:r>
        <w:rPr>
          <w:rFonts w:hint="eastAsia" w:ascii="宋体" w:hAnsi="宋体" w:eastAsia="宋体" w:cs="宋体"/>
          <w:kern w:val="0"/>
          <w:sz w:val="24"/>
          <w:u w:val="single"/>
        </w:rPr>
        <w:t xml:space="preserve">    </w:t>
      </w:r>
      <w:r>
        <w:rPr>
          <w:rFonts w:ascii="宋体" w:hAnsi="宋体" w:eastAsia="宋体" w:cs="宋体"/>
          <w:kern w:val="0"/>
          <w:sz w:val="24"/>
          <w:u w:val="single"/>
        </w:rPr>
        <w:t xml:space="preserve"> </w:t>
      </w:r>
      <w:r>
        <w:rPr>
          <w:rFonts w:hint="eastAsia" w:ascii="宋体" w:hAnsi="宋体" w:eastAsia="宋体" w:cs="宋体"/>
          <w:kern w:val="0"/>
          <w:sz w:val="24"/>
          <w:u w:val="single"/>
        </w:rPr>
        <w:t xml:space="preserve"> </w:t>
      </w:r>
      <w:r>
        <w:rPr>
          <w:rFonts w:hint="eastAsia" w:ascii="宋体" w:hAnsi="宋体" w:eastAsia="宋体" w:cs="宋体"/>
          <w:kern w:val="0"/>
          <w:sz w:val="24"/>
        </w:rPr>
        <w:t>元。</w:t>
      </w:r>
    </w:p>
    <w:p w14:paraId="4E4BCE2D">
      <w:pPr>
        <w:spacing w:line="580" w:lineRule="exact"/>
        <w:ind w:firstLine="720" w:firstLineChars="300"/>
        <w:outlineLvl w:val="0"/>
        <w:rPr>
          <w:rFonts w:ascii="宋体" w:hAnsi="宋体" w:eastAsia="宋体" w:cs="宋体"/>
          <w:kern w:val="0"/>
          <w:sz w:val="24"/>
        </w:rPr>
      </w:pPr>
      <w:r>
        <w:rPr>
          <w:rFonts w:hint="eastAsia" w:ascii="宋体" w:hAnsi="宋体" w:eastAsia="宋体" w:cs="宋体"/>
          <w:kern w:val="0"/>
          <w:sz w:val="24"/>
        </w:rPr>
        <w:t>2.低价风险担保的扣减：</w:t>
      </w:r>
    </w:p>
    <w:p w14:paraId="044A3EF8">
      <w:pPr>
        <w:spacing w:line="580" w:lineRule="exact"/>
        <w:ind w:firstLine="720" w:firstLineChars="300"/>
        <w:outlineLvl w:val="0"/>
        <w:rPr>
          <w:rFonts w:ascii="宋体" w:hAnsi="宋体" w:eastAsia="宋体" w:cs="宋体"/>
          <w:kern w:val="0"/>
          <w:sz w:val="24"/>
        </w:rPr>
      </w:pPr>
      <w:r>
        <w:rPr>
          <w:rFonts w:hint="eastAsia" w:ascii="宋体" w:hAnsi="宋体" w:eastAsia="宋体" w:cs="宋体"/>
          <w:kern w:val="0"/>
          <w:sz w:val="24"/>
        </w:rPr>
        <w:t>①承包人在施工期间，违反相关部门规定、标准，规范进行施工给发包人造成直接经济损失的，按低价风险担保金额的100%扣减，直至解除合同；</w:t>
      </w:r>
    </w:p>
    <w:p w14:paraId="5F139050">
      <w:pPr>
        <w:spacing w:line="580" w:lineRule="exact"/>
        <w:ind w:firstLine="720" w:firstLineChars="300"/>
        <w:outlineLvl w:val="0"/>
        <w:rPr>
          <w:rFonts w:ascii="宋体" w:hAnsi="宋体" w:eastAsia="宋体" w:cs="宋体"/>
          <w:kern w:val="0"/>
          <w:sz w:val="24"/>
        </w:rPr>
      </w:pPr>
      <w:r>
        <w:rPr>
          <w:rFonts w:hint="eastAsia" w:ascii="宋体" w:hAnsi="宋体" w:eastAsia="宋体" w:cs="宋体"/>
          <w:kern w:val="0"/>
          <w:sz w:val="24"/>
        </w:rPr>
        <w:t>②承包人在施工过程中或竣工验收时，工程质量不符合国家现行有关施工质量验收规范要求的，按低价风险担保金额的100%扣减，直至解除合同；</w:t>
      </w:r>
    </w:p>
    <w:p w14:paraId="62EC0C44">
      <w:pPr>
        <w:spacing w:line="580" w:lineRule="exact"/>
        <w:ind w:firstLine="720" w:firstLineChars="300"/>
        <w:outlineLvl w:val="0"/>
        <w:rPr>
          <w:rFonts w:ascii="宋体" w:hAnsi="宋体" w:eastAsia="宋体" w:cs="宋体"/>
          <w:kern w:val="0"/>
          <w:sz w:val="24"/>
        </w:rPr>
      </w:pPr>
      <w:r>
        <w:rPr>
          <w:rFonts w:hint="eastAsia" w:ascii="宋体" w:hAnsi="宋体" w:eastAsia="宋体" w:cs="宋体"/>
          <w:kern w:val="0"/>
          <w:sz w:val="24"/>
        </w:rPr>
        <w:t>③承包人原因被中止施工，解除合同的，低价风险担保将全额扣除；</w:t>
      </w:r>
    </w:p>
    <w:p w14:paraId="19BD321A">
      <w:pPr>
        <w:spacing w:line="580" w:lineRule="exact"/>
        <w:ind w:firstLine="720" w:firstLineChars="300"/>
        <w:outlineLvl w:val="0"/>
        <w:rPr>
          <w:rFonts w:ascii="宋体" w:hAnsi="宋体" w:eastAsia="宋体" w:cs="宋体"/>
          <w:kern w:val="0"/>
          <w:sz w:val="24"/>
        </w:rPr>
      </w:pPr>
      <w:r>
        <w:rPr>
          <w:rFonts w:hint="eastAsia" w:ascii="宋体" w:hAnsi="宋体" w:eastAsia="宋体" w:cs="宋体"/>
          <w:kern w:val="0"/>
          <w:sz w:val="24"/>
        </w:rPr>
        <w:t xml:space="preserve">④因承包人过错导致的其他情形。  </w:t>
      </w:r>
    </w:p>
    <w:p w14:paraId="3F1BC50E">
      <w:pPr>
        <w:spacing w:line="580" w:lineRule="exact"/>
        <w:ind w:firstLine="720" w:firstLineChars="300"/>
        <w:outlineLvl w:val="0"/>
        <w:rPr>
          <w:rFonts w:ascii="宋体" w:hAnsi="宋体" w:eastAsia="宋体" w:cs="宋体"/>
          <w:kern w:val="0"/>
          <w:sz w:val="24"/>
        </w:rPr>
      </w:pPr>
      <w:r>
        <w:rPr>
          <w:rFonts w:hint="eastAsia" w:ascii="宋体" w:hAnsi="宋体" w:eastAsia="宋体" w:cs="宋体"/>
          <w:kern w:val="0"/>
          <w:sz w:val="24"/>
        </w:rPr>
        <w:t xml:space="preserve">3.在整个施工合同履行期间承包人未违反本节第（九）~2中约定的情况，低价风险担保费用在工程竣工验收合格后14天内无息退还。 </w:t>
      </w:r>
    </w:p>
    <w:p w14:paraId="2FED5075">
      <w:pPr>
        <w:keepNext/>
        <w:keepLines/>
        <w:spacing w:line="500" w:lineRule="exact"/>
        <w:outlineLvl w:val="2"/>
        <w:rPr>
          <w:rFonts w:ascii="宋体" w:hAnsi="宋体" w:eastAsia="宋体" w:cs="宋体"/>
          <w:b/>
          <w:kern w:val="0"/>
          <w:sz w:val="24"/>
          <w:szCs w:val="24"/>
        </w:rPr>
      </w:pPr>
      <w:bookmarkStart w:id="34" w:name="_Toc398019760"/>
      <w:bookmarkStart w:id="35" w:name="_Toc395710650"/>
      <w:bookmarkStart w:id="36" w:name="_Toc409117919"/>
      <w:bookmarkStart w:id="37" w:name="_Toc431395336"/>
      <w:bookmarkStart w:id="38" w:name="_Toc398821412"/>
      <w:bookmarkStart w:id="39" w:name="_Toc1021"/>
      <w:r>
        <w:rPr>
          <w:rFonts w:hint="eastAsia" w:ascii="宋体" w:hAnsi="宋体" w:eastAsia="宋体" w:cs="宋体"/>
          <w:b/>
          <w:kern w:val="0"/>
          <w:sz w:val="24"/>
          <w:szCs w:val="24"/>
        </w:rPr>
        <w:t>第八条</w:t>
      </w:r>
      <w:r>
        <w:rPr>
          <w:rFonts w:ascii="宋体" w:hAnsi="宋体" w:eastAsia="宋体" w:cs="宋体"/>
          <w:b/>
          <w:kern w:val="0"/>
          <w:sz w:val="24"/>
          <w:szCs w:val="24"/>
        </w:rPr>
        <w:t xml:space="preserve"> </w:t>
      </w:r>
      <w:r>
        <w:rPr>
          <w:rFonts w:hint="eastAsia" w:ascii="宋体" w:hAnsi="宋体" w:eastAsia="宋体" w:cs="宋体"/>
          <w:b/>
          <w:kern w:val="0"/>
          <w:sz w:val="24"/>
          <w:szCs w:val="24"/>
        </w:rPr>
        <w:t>竣工验收</w:t>
      </w:r>
      <w:bookmarkEnd w:id="34"/>
      <w:bookmarkEnd w:id="35"/>
      <w:bookmarkEnd w:id="36"/>
      <w:bookmarkEnd w:id="37"/>
      <w:bookmarkEnd w:id="38"/>
      <w:bookmarkEnd w:id="39"/>
    </w:p>
    <w:p w14:paraId="0FDDE192">
      <w:pPr>
        <w:widowControl/>
        <w:snapToGrid w:val="0"/>
        <w:spacing w:line="500" w:lineRule="exact"/>
        <w:ind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8.1</w:t>
      </w:r>
      <w:r>
        <w:rPr>
          <w:rFonts w:ascii="宋体" w:hAnsi="宋体" w:eastAsia="宋体" w:cs="宋体"/>
          <w:kern w:val="0"/>
          <w:sz w:val="24"/>
          <w:szCs w:val="24"/>
        </w:rPr>
        <w:t xml:space="preserve">  </w:t>
      </w:r>
      <w:r>
        <w:rPr>
          <w:rFonts w:hint="eastAsia" w:ascii="宋体" w:hAnsi="宋体" w:eastAsia="宋体" w:cs="宋体"/>
          <w:kern w:val="0"/>
          <w:sz w:val="24"/>
          <w:szCs w:val="24"/>
        </w:rPr>
        <w:t>竣工验收申请报告</w:t>
      </w:r>
    </w:p>
    <w:p w14:paraId="796D0513">
      <w:pPr>
        <w:widowControl/>
        <w:snapToGrid w:val="0"/>
        <w:spacing w:line="500" w:lineRule="exact"/>
        <w:ind w:firstLine="480" w:firstLineChars="200"/>
        <w:jc w:val="left"/>
        <w:rPr>
          <w:rFonts w:ascii="宋体" w:hAnsi="宋体" w:eastAsia="宋体" w:cs="宋体"/>
          <w:kern w:val="0"/>
          <w:sz w:val="24"/>
          <w:szCs w:val="24"/>
          <w:u w:val="single"/>
        </w:rPr>
      </w:pPr>
      <w:r>
        <w:rPr>
          <w:rFonts w:hint="eastAsia" w:ascii="宋体" w:hAnsi="宋体" w:eastAsia="宋体" w:cs="宋体"/>
          <w:kern w:val="0"/>
          <w:sz w:val="24"/>
          <w:szCs w:val="24"/>
          <w:u w:val="single"/>
        </w:rPr>
        <w:t>工程按合同约定工期完工，在承包人提供完整并合格的竣工技术资料及竣工验收报告后，发包人组织相关单位及人员进行竣工验收。</w:t>
      </w:r>
    </w:p>
    <w:p w14:paraId="7F66B4AE">
      <w:pPr>
        <w:widowControl/>
        <w:snapToGrid w:val="0"/>
        <w:spacing w:line="500" w:lineRule="exact"/>
        <w:ind w:firstLine="480" w:firstLineChars="200"/>
        <w:jc w:val="left"/>
        <w:rPr>
          <w:rFonts w:ascii="宋体" w:hAnsi="宋体" w:eastAsia="宋体" w:cs="宋体"/>
          <w:b/>
          <w:bCs/>
          <w:kern w:val="0"/>
          <w:sz w:val="24"/>
          <w:szCs w:val="24"/>
          <w:u w:val="single"/>
        </w:rPr>
      </w:pPr>
      <w:r>
        <w:rPr>
          <w:rFonts w:hint="eastAsia" w:ascii="宋体" w:hAnsi="宋体" w:eastAsia="宋体" w:cs="宋体"/>
          <w:kern w:val="0"/>
          <w:sz w:val="24"/>
          <w:szCs w:val="24"/>
        </w:rPr>
        <w:t>8.2</w:t>
      </w:r>
      <w:r>
        <w:rPr>
          <w:rFonts w:ascii="宋体" w:hAnsi="宋体" w:eastAsia="宋体" w:cs="宋体"/>
          <w:kern w:val="0"/>
          <w:sz w:val="24"/>
          <w:szCs w:val="24"/>
        </w:rPr>
        <w:t xml:space="preserve"> </w:t>
      </w:r>
      <w:r>
        <w:rPr>
          <w:rFonts w:hint="eastAsia" w:ascii="宋体" w:hAnsi="宋体" w:eastAsia="宋体" w:cs="宋体"/>
          <w:kern w:val="0"/>
          <w:sz w:val="24"/>
          <w:szCs w:val="24"/>
        </w:rPr>
        <w:t>竣工资料内容：</w:t>
      </w:r>
      <w:r>
        <w:rPr>
          <w:rFonts w:hint="eastAsia" w:ascii="宋体" w:hAnsi="宋体" w:eastAsia="宋体" w:cs="宋体"/>
          <w:kern w:val="0"/>
          <w:sz w:val="24"/>
          <w:szCs w:val="24"/>
          <w:u w:val="single"/>
        </w:rPr>
        <w:t>技术及经济资料。</w:t>
      </w:r>
    </w:p>
    <w:p w14:paraId="118AAE4E">
      <w:pPr>
        <w:widowControl/>
        <w:snapToGrid w:val="0"/>
        <w:spacing w:line="500" w:lineRule="exact"/>
        <w:ind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8.3竣工资料份数：</w:t>
      </w:r>
      <w:r>
        <w:rPr>
          <w:rFonts w:ascii="宋体" w:hAnsi="宋体" w:eastAsia="宋体" w:cs="宋体"/>
          <w:b/>
          <w:kern w:val="0"/>
          <w:sz w:val="24"/>
          <w:szCs w:val="24"/>
          <w:u w:val="single"/>
        </w:rPr>
        <w:t>4</w:t>
      </w:r>
      <w:r>
        <w:rPr>
          <w:rFonts w:hint="eastAsia" w:ascii="宋体" w:hAnsi="宋体" w:eastAsia="宋体" w:cs="宋体"/>
          <w:b/>
          <w:kern w:val="0"/>
          <w:sz w:val="24"/>
          <w:szCs w:val="24"/>
          <w:u w:val="single"/>
        </w:rPr>
        <w:t>份</w:t>
      </w:r>
      <w:r>
        <w:rPr>
          <w:rFonts w:hint="eastAsia" w:ascii="宋体" w:hAnsi="宋体" w:eastAsia="宋体" w:cs="宋体"/>
          <w:kern w:val="0"/>
          <w:sz w:val="24"/>
          <w:szCs w:val="24"/>
          <w:u w:val="single"/>
        </w:rPr>
        <w:t>。</w:t>
      </w:r>
    </w:p>
    <w:p w14:paraId="552169AD">
      <w:pPr>
        <w:autoSpaceDE w:val="0"/>
        <w:autoSpaceDN w:val="0"/>
        <w:adjustRightInd w:val="0"/>
        <w:spacing w:before="100" w:after="100" w:line="500" w:lineRule="exact"/>
        <w:ind w:firstLine="241" w:firstLineChars="100"/>
        <w:jc w:val="left"/>
        <w:rPr>
          <w:rFonts w:ascii="宋体" w:hAnsi="宋体" w:eastAsia="宋体" w:cs="宋体"/>
          <w:b/>
          <w:bCs/>
          <w:kern w:val="0"/>
          <w:sz w:val="24"/>
          <w:szCs w:val="24"/>
        </w:rPr>
      </w:pPr>
      <w:r>
        <w:rPr>
          <w:rFonts w:hint="eastAsia" w:ascii="宋体" w:hAnsi="宋体" w:eastAsia="宋体" w:cs="宋体"/>
          <w:b/>
          <w:bCs/>
          <w:kern w:val="0"/>
          <w:sz w:val="24"/>
          <w:szCs w:val="24"/>
          <w:lang w:val="zh-CN"/>
        </w:rPr>
        <w:t>第</w:t>
      </w:r>
      <w:r>
        <w:rPr>
          <w:rFonts w:hint="eastAsia" w:ascii="宋体" w:hAnsi="宋体" w:eastAsia="宋体" w:cs="宋体"/>
          <w:b/>
          <w:bCs/>
          <w:kern w:val="0"/>
          <w:sz w:val="24"/>
          <w:szCs w:val="24"/>
        </w:rPr>
        <w:t>九</w:t>
      </w:r>
      <w:r>
        <w:rPr>
          <w:rFonts w:hint="eastAsia" w:ascii="宋体" w:hAnsi="宋体" w:eastAsia="宋体" w:cs="宋体"/>
          <w:b/>
          <w:bCs/>
          <w:kern w:val="0"/>
          <w:sz w:val="24"/>
          <w:szCs w:val="24"/>
          <w:lang w:val="zh-CN"/>
        </w:rPr>
        <w:t>条</w:t>
      </w:r>
      <w:r>
        <w:rPr>
          <w:rFonts w:hint="eastAsia" w:ascii="宋体" w:hAnsi="宋体" w:eastAsia="宋体" w:cs="宋体"/>
          <w:b/>
          <w:bCs/>
          <w:kern w:val="0"/>
          <w:sz w:val="24"/>
          <w:szCs w:val="24"/>
        </w:rPr>
        <w:t xml:space="preserve"> 工程移交</w:t>
      </w:r>
    </w:p>
    <w:p w14:paraId="06F23AC0">
      <w:pPr>
        <w:autoSpaceDE w:val="0"/>
        <w:autoSpaceDN w:val="0"/>
        <w:adjustRightInd w:val="0"/>
        <w:spacing w:before="100" w:after="100" w:line="276" w:lineRule="auto"/>
        <w:ind w:left="-359" w:leftChars="-171" w:right="-334" w:rightChars="-159" w:firstLine="720" w:firstLineChars="300"/>
        <w:jc w:val="left"/>
        <w:rPr>
          <w:rFonts w:ascii="宋体" w:hAnsi="宋体" w:eastAsia="宋体" w:cs="宋体"/>
          <w:kern w:val="0"/>
          <w:sz w:val="24"/>
          <w:szCs w:val="24"/>
        </w:rPr>
      </w:pPr>
      <w:r>
        <w:rPr>
          <w:rFonts w:hint="eastAsia" w:ascii="宋体" w:hAnsi="宋体" w:eastAsia="宋体" w:cs="宋体"/>
          <w:kern w:val="0"/>
          <w:sz w:val="24"/>
          <w:szCs w:val="24"/>
        </w:rPr>
        <w:t>9.1 移交、接收全部与部分工程：</w:t>
      </w:r>
    </w:p>
    <w:p w14:paraId="086D5969">
      <w:pPr>
        <w:autoSpaceDE w:val="0"/>
        <w:autoSpaceDN w:val="0"/>
        <w:adjustRightInd w:val="0"/>
        <w:spacing w:before="100" w:after="100" w:line="276" w:lineRule="auto"/>
        <w:ind w:left="-359" w:leftChars="-171" w:right="-334" w:rightChars="-159" w:firstLine="720" w:firstLineChars="300"/>
        <w:jc w:val="left"/>
        <w:rPr>
          <w:rFonts w:ascii="宋体" w:hAnsi="宋体" w:eastAsia="宋体" w:cs="宋体"/>
          <w:kern w:val="0"/>
          <w:sz w:val="24"/>
          <w:szCs w:val="24"/>
        </w:rPr>
      </w:pPr>
      <w:r>
        <w:rPr>
          <w:rFonts w:hint="eastAsia" w:ascii="宋体" w:hAnsi="宋体" w:eastAsia="宋体" w:cs="宋体"/>
          <w:kern w:val="0"/>
          <w:sz w:val="24"/>
          <w:szCs w:val="24"/>
        </w:rPr>
        <w:t>9.2 承包人向发包人移交工程的期限：颁发工程接收证书后7天内 。</w:t>
      </w:r>
    </w:p>
    <w:p w14:paraId="64CBDB5B">
      <w:pPr>
        <w:autoSpaceDE w:val="0"/>
        <w:autoSpaceDN w:val="0"/>
        <w:adjustRightInd w:val="0"/>
        <w:spacing w:before="100" w:after="100" w:line="276" w:lineRule="auto"/>
        <w:ind w:left="-359" w:leftChars="-171" w:right="-334" w:rightChars="-159" w:firstLine="720" w:firstLineChars="300"/>
        <w:jc w:val="left"/>
        <w:rPr>
          <w:rFonts w:ascii="宋体" w:hAnsi="宋体" w:eastAsia="宋体" w:cs="宋体"/>
          <w:kern w:val="0"/>
          <w:sz w:val="24"/>
          <w:szCs w:val="24"/>
        </w:rPr>
      </w:pPr>
      <w:r>
        <w:rPr>
          <w:rFonts w:hint="eastAsia" w:ascii="宋体" w:hAnsi="宋体" w:eastAsia="宋体" w:cs="宋体"/>
          <w:kern w:val="0"/>
          <w:sz w:val="24"/>
          <w:szCs w:val="24"/>
        </w:rPr>
        <w:t>9.3 发包人未按本合同约定接收全部或部分工程的，违约金的计算方法为：不采用。</w:t>
      </w:r>
    </w:p>
    <w:p w14:paraId="6F16CB1B">
      <w:pPr>
        <w:autoSpaceDE w:val="0"/>
        <w:autoSpaceDN w:val="0"/>
        <w:adjustRightInd w:val="0"/>
        <w:spacing w:before="100" w:after="100" w:line="276" w:lineRule="auto"/>
        <w:ind w:left="-359" w:leftChars="-171" w:right="-334" w:rightChars="-159" w:firstLine="720" w:firstLineChars="300"/>
        <w:jc w:val="left"/>
        <w:rPr>
          <w:rFonts w:ascii="宋体" w:hAnsi="宋体" w:eastAsia="宋体" w:cs="宋体"/>
          <w:b/>
          <w:bCs/>
          <w:kern w:val="0"/>
          <w:sz w:val="24"/>
          <w:szCs w:val="24"/>
        </w:rPr>
      </w:pPr>
      <w:r>
        <w:rPr>
          <w:rFonts w:hint="eastAsia" w:ascii="宋体" w:hAnsi="宋体" w:eastAsia="宋体" w:cs="宋体"/>
          <w:kern w:val="0"/>
          <w:sz w:val="24"/>
          <w:szCs w:val="24"/>
        </w:rPr>
        <w:t>9.4 因承包人原因未按时移交工程的，违约金的计算方法为：每延误一天按5000元/天向发包人缴纳违约金。</w:t>
      </w:r>
    </w:p>
    <w:p w14:paraId="578CE4B7">
      <w:pPr>
        <w:autoSpaceDE w:val="0"/>
        <w:autoSpaceDN w:val="0"/>
        <w:adjustRightInd w:val="0"/>
        <w:spacing w:before="100" w:after="100" w:line="500" w:lineRule="exact"/>
        <w:ind w:right="-334" w:rightChars="-159" w:firstLine="482" w:firstLineChars="200"/>
        <w:jc w:val="left"/>
        <w:rPr>
          <w:rFonts w:ascii="宋体" w:hAnsi="宋体" w:eastAsia="宋体" w:cs="宋体"/>
          <w:b/>
          <w:bCs/>
          <w:kern w:val="0"/>
          <w:sz w:val="24"/>
          <w:szCs w:val="24"/>
          <w:lang w:val="zh-CN"/>
        </w:rPr>
      </w:pPr>
      <w:r>
        <w:rPr>
          <w:rFonts w:hint="eastAsia" w:ascii="宋体" w:hAnsi="宋体" w:eastAsia="宋体" w:cs="宋体"/>
          <w:b/>
          <w:bCs/>
          <w:kern w:val="0"/>
          <w:sz w:val="24"/>
          <w:szCs w:val="24"/>
          <w:lang w:val="zh-CN"/>
        </w:rPr>
        <w:t>第</w:t>
      </w:r>
      <w:r>
        <w:rPr>
          <w:rFonts w:hint="eastAsia" w:ascii="宋体" w:hAnsi="宋体" w:eastAsia="宋体" w:cs="宋体"/>
          <w:b/>
          <w:bCs/>
          <w:kern w:val="0"/>
          <w:sz w:val="24"/>
          <w:szCs w:val="24"/>
        </w:rPr>
        <w:t>十</w:t>
      </w:r>
      <w:r>
        <w:rPr>
          <w:rFonts w:hint="eastAsia" w:ascii="宋体" w:hAnsi="宋体" w:eastAsia="宋体" w:cs="宋体"/>
          <w:b/>
          <w:bCs/>
          <w:kern w:val="0"/>
          <w:sz w:val="24"/>
          <w:szCs w:val="24"/>
          <w:lang w:val="zh-CN"/>
        </w:rPr>
        <w:t>条</w:t>
      </w:r>
      <w:r>
        <w:rPr>
          <w:rFonts w:hint="eastAsia" w:ascii="宋体" w:hAnsi="宋体" w:eastAsia="宋体" w:cs="宋体"/>
          <w:b/>
          <w:bCs/>
          <w:kern w:val="0"/>
          <w:sz w:val="24"/>
          <w:szCs w:val="24"/>
        </w:rPr>
        <w:t xml:space="preserve"> </w:t>
      </w:r>
      <w:r>
        <w:rPr>
          <w:rFonts w:hint="eastAsia" w:ascii="宋体" w:hAnsi="宋体" w:eastAsia="宋体" w:cs="宋体"/>
          <w:b/>
          <w:bCs/>
          <w:kern w:val="0"/>
          <w:sz w:val="24"/>
          <w:szCs w:val="24"/>
          <w:lang w:val="zh-CN"/>
        </w:rPr>
        <w:t>违约责任</w:t>
      </w:r>
    </w:p>
    <w:p w14:paraId="623D5594">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10</w:t>
      </w:r>
      <w:r>
        <w:rPr>
          <w:rFonts w:hint="eastAsia" w:ascii="宋体" w:hAnsi="宋体" w:eastAsia="宋体" w:cs="宋体"/>
          <w:kern w:val="0"/>
          <w:sz w:val="24"/>
          <w:szCs w:val="24"/>
          <w:lang w:val="zh-CN"/>
        </w:rPr>
        <w:t>.1 本合同所称的不可抗力是指发包人、承包人双方不能预见、不可避免和不可抗拒的因洪水、暴风、地震、干旱、暴风雪等引起的自然灾害事故和因战争、罢工、政府禁止令等引起的社会事故等。因不可抗力导致逾期未完工的，承包人、发包人双方互不承担责任。</w:t>
      </w:r>
    </w:p>
    <w:p w14:paraId="1D85B878">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10</w:t>
      </w:r>
      <w:r>
        <w:rPr>
          <w:rFonts w:hint="eastAsia" w:ascii="宋体" w:hAnsi="宋体" w:eastAsia="宋体" w:cs="宋体"/>
          <w:kern w:val="0"/>
          <w:sz w:val="24"/>
          <w:szCs w:val="24"/>
          <w:lang w:val="zh-CN"/>
        </w:rPr>
        <w:t>.2 由于发包人的原因导致工期延误的，承包人不承担逾期未完工的责任，并有权及时与发包人沟通，要求工期相应顺延。</w:t>
      </w:r>
    </w:p>
    <w:p w14:paraId="619C79F1">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10</w:t>
      </w:r>
      <w:r>
        <w:rPr>
          <w:rFonts w:hint="eastAsia" w:ascii="宋体" w:hAnsi="宋体" w:eastAsia="宋体" w:cs="宋体"/>
          <w:kern w:val="0"/>
          <w:sz w:val="24"/>
          <w:szCs w:val="24"/>
          <w:lang w:val="zh-CN"/>
        </w:rPr>
        <w:t>.3</w:t>
      </w:r>
      <w:r>
        <w:rPr>
          <w:rFonts w:hint="eastAsia" w:ascii="宋体" w:hAnsi="宋体" w:eastAsia="宋体" w:cs="宋体"/>
          <w:kern w:val="0"/>
          <w:sz w:val="24"/>
          <w:szCs w:val="24"/>
        </w:rPr>
        <w:t xml:space="preserve"> </w:t>
      </w:r>
      <w:r>
        <w:rPr>
          <w:rFonts w:hint="eastAsia" w:ascii="宋体" w:hAnsi="宋体" w:eastAsia="宋体" w:cs="宋体"/>
          <w:kern w:val="0"/>
          <w:sz w:val="24"/>
          <w:szCs w:val="24"/>
          <w:lang w:val="zh-CN"/>
        </w:rPr>
        <w:t>除非本合同另有约定，若工程未通过竣工验收，承包人应立即进行整改，并自行承担整改费用，且工期不予顺延，若由此造成发包人损失的，承包人需承担赔偿责任，具体赔偿金额由发包人和承包人另行协商确定，但应不低于发包人由此造成的实际损失。</w:t>
      </w:r>
    </w:p>
    <w:p w14:paraId="7EA80B6D">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10</w:t>
      </w:r>
      <w:r>
        <w:rPr>
          <w:rFonts w:hint="eastAsia" w:ascii="宋体" w:hAnsi="宋体" w:eastAsia="宋体" w:cs="宋体"/>
          <w:kern w:val="0"/>
          <w:sz w:val="24"/>
          <w:szCs w:val="24"/>
          <w:lang w:val="zh-CN"/>
        </w:rPr>
        <w:t>.4 若承包人在履行本合同过程中造成自身员工、发包人或第三方人身、财产损失的，此类损失均由承包人自行承担相关法律、经济责任，与发包人无关且发包人有权解除本合同。</w:t>
      </w:r>
    </w:p>
    <w:p w14:paraId="6A5F0BB4">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10</w:t>
      </w:r>
      <w:r>
        <w:rPr>
          <w:rFonts w:hint="eastAsia" w:ascii="宋体" w:hAnsi="宋体" w:eastAsia="宋体" w:cs="宋体"/>
          <w:kern w:val="0"/>
          <w:sz w:val="24"/>
          <w:szCs w:val="24"/>
          <w:lang w:val="zh-CN"/>
        </w:rPr>
        <w:t>.5 承包人及承包人指派的工作人员（包括但不限于项目经理、技术负责人、安全员），在履行本合同时均需持有法律、法规所要求的履行本合同事项所需的相关资质证照且持续有效，否则发包人有权解除本合同，且承包人应向发包人返还已支付的相关费用并赔偿发包人相关损失</w:t>
      </w:r>
    </w:p>
    <w:p w14:paraId="17F1E135">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10</w:t>
      </w:r>
      <w:r>
        <w:rPr>
          <w:rFonts w:hint="eastAsia" w:ascii="宋体" w:hAnsi="宋体" w:eastAsia="宋体" w:cs="宋体"/>
          <w:kern w:val="0"/>
          <w:sz w:val="24"/>
          <w:szCs w:val="24"/>
          <w:lang w:val="zh-CN"/>
        </w:rPr>
        <w:t>.6 未经发包人书面同意，承包人不得单方面解除本合同，也不得将本合同项下工程施工（工作）内容进行转包或者非法分包，否则发包人有权单方解除合同且不支付任何费用，承包人应支付本合同价款的20%以赔偿发包人损失。</w:t>
      </w:r>
    </w:p>
    <w:p w14:paraId="33593FE6">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10</w:t>
      </w:r>
      <w:r>
        <w:rPr>
          <w:rFonts w:hint="eastAsia" w:ascii="宋体" w:hAnsi="宋体" w:eastAsia="宋体" w:cs="宋体"/>
          <w:kern w:val="0"/>
          <w:sz w:val="24"/>
          <w:szCs w:val="24"/>
          <w:lang w:val="zh-CN"/>
        </w:rPr>
        <w:t>.7 承包人向发包人承诺按照合同约定进行施工、竣工并承担工程相关责任，如需更改施工内容需书面向发包人作出报告，提出更改理由，待发包人书面审核同意后方可实施，否则发包人有权解除本合同，且承包人应向发包人返还已支付的相关费用并赔偿发包人相关损失。</w:t>
      </w:r>
    </w:p>
    <w:p w14:paraId="20E7A76A">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lang w:val="zh-CN"/>
        </w:rPr>
        <w:t>1</w:t>
      </w:r>
      <w:r>
        <w:rPr>
          <w:rFonts w:ascii="宋体" w:hAnsi="宋体" w:eastAsia="宋体" w:cs="宋体"/>
          <w:kern w:val="0"/>
          <w:sz w:val="24"/>
          <w:szCs w:val="24"/>
          <w:lang w:val="zh-CN"/>
        </w:rPr>
        <w:t>0.8本工程</w:t>
      </w:r>
      <w:r>
        <w:rPr>
          <w:rFonts w:hint="eastAsia" w:ascii="宋体" w:hAnsi="宋体" w:eastAsia="宋体" w:cs="宋体"/>
          <w:kern w:val="0"/>
          <w:sz w:val="24"/>
          <w:szCs w:val="24"/>
          <w:lang w:val="zh-CN"/>
        </w:rPr>
        <w:t>缺陷</w:t>
      </w:r>
      <w:r>
        <w:rPr>
          <w:rFonts w:ascii="宋体" w:hAnsi="宋体" w:eastAsia="宋体" w:cs="宋体"/>
          <w:kern w:val="0"/>
          <w:sz w:val="24"/>
          <w:szCs w:val="24"/>
          <w:lang w:val="zh-CN"/>
        </w:rPr>
        <w:t>责任期</w:t>
      </w:r>
      <w:r>
        <w:rPr>
          <w:rFonts w:hint="eastAsia" w:ascii="宋体" w:hAnsi="宋体" w:eastAsia="宋体" w:cs="宋体"/>
          <w:kern w:val="0"/>
          <w:sz w:val="24"/>
          <w:szCs w:val="24"/>
          <w:lang w:val="zh-CN"/>
        </w:rPr>
        <w:t>2年</w:t>
      </w:r>
      <w:r>
        <w:rPr>
          <w:rFonts w:ascii="宋体" w:hAnsi="宋体" w:eastAsia="宋体" w:cs="宋体"/>
          <w:kern w:val="0"/>
          <w:sz w:val="24"/>
          <w:szCs w:val="24"/>
          <w:lang w:val="zh-CN"/>
        </w:rPr>
        <w:t>，</w:t>
      </w:r>
      <w:r>
        <w:rPr>
          <w:rFonts w:hint="eastAsia" w:ascii="宋体" w:hAnsi="宋体" w:eastAsia="宋体" w:cs="宋体"/>
          <w:kern w:val="0"/>
          <w:sz w:val="24"/>
          <w:szCs w:val="24"/>
          <w:lang w:val="zh-CN"/>
        </w:rPr>
        <w:t>承包人在质保期内须对工程质量缺陷进行维修，并自行承担维修费用。承包人应在质量缺陷发生后或收到发包人的书面通知后</w:t>
      </w:r>
      <w:r>
        <w:rPr>
          <w:rFonts w:ascii="宋体" w:hAnsi="宋体" w:eastAsia="宋体" w:cs="宋体"/>
          <w:kern w:val="0"/>
          <w:sz w:val="24"/>
          <w:szCs w:val="24"/>
          <w:lang w:val="zh-CN"/>
        </w:rPr>
        <w:t>14日内</w:t>
      </w:r>
      <w:r>
        <w:rPr>
          <w:rFonts w:hint="eastAsia" w:ascii="宋体" w:hAnsi="宋体" w:eastAsia="宋体" w:cs="宋体"/>
          <w:kern w:val="0"/>
          <w:sz w:val="24"/>
          <w:szCs w:val="24"/>
          <w:lang w:val="zh-CN"/>
        </w:rPr>
        <w:t>完成</w:t>
      </w:r>
      <w:r>
        <w:rPr>
          <w:rFonts w:ascii="宋体" w:hAnsi="宋体" w:eastAsia="宋体" w:cs="宋体"/>
          <w:kern w:val="0"/>
          <w:sz w:val="24"/>
          <w:szCs w:val="24"/>
          <w:lang w:val="zh-CN"/>
        </w:rPr>
        <w:t>缺陷修复</w:t>
      </w:r>
      <w:r>
        <w:rPr>
          <w:rFonts w:hint="eastAsia" w:ascii="宋体" w:hAnsi="宋体" w:eastAsia="宋体" w:cs="宋体"/>
          <w:kern w:val="0"/>
          <w:sz w:val="24"/>
          <w:szCs w:val="24"/>
          <w:lang w:val="zh-CN"/>
        </w:rPr>
        <w:t>；承包人拒绝维修，经发包人书面催告两次仍拒绝维修的，由发包人方直接或委托第三方实施维修，并扣除发包人在工程中的全部质量保修金。</w:t>
      </w:r>
    </w:p>
    <w:p w14:paraId="698B973B">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lang w:val="zh-CN"/>
        </w:rPr>
        <w:t>质保期内已发生的质量缺陷或承包人在缺陷维修期间造成发包人或第三方损坏的，费用由承包人承担，发包人有权在工程质量保修金中予以扣除。</w:t>
      </w:r>
    </w:p>
    <w:p w14:paraId="6A838B6C">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lang w:val="zh-CN"/>
        </w:rPr>
        <w:t>因工程存在质量缺陷，且承包人预留的工程质量保证金又不足以支付发包人的全部费用和经济损失的，发包人为实现索赔权利而起诉至人民法院发生的诉讼费、律师费、材料费、鉴定费等费用均由承包人承担。</w:t>
      </w:r>
    </w:p>
    <w:p w14:paraId="7DC3B1BA">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10</w:t>
      </w:r>
      <w:r>
        <w:rPr>
          <w:rFonts w:hint="eastAsia" w:ascii="宋体" w:hAnsi="宋体" w:eastAsia="宋体" w:cs="宋体"/>
          <w:kern w:val="0"/>
          <w:sz w:val="24"/>
          <w:szCs w:val="24"/>
          <w:lang w:val="zh-CN"/>
        </w:rPr>
        <w:t>.</w:t>
      </w:r>
      <w:r>
        <w:rPr>
          <w:rFonts w:ascii="宋体" w:hAnsi="宋体" w:eastAsia="宋体" w:cs="宋体"/>
          <w:kern w:val="0"/>
          <w:sz w:val="24"/>
          <w:szCs w:val="24"/>
          <w:lang w:val="zh-CN"/>
        </w:rPr>
        <w:t>9</w:t>
      </w:r>
      <w:r>
        <w:rPr>
          <w:rFonts w:hint="eastAsia" w:ascii="宋体" w:hAnsi="宋体" w:eastAsia="宋体" w:cs="宋体"/>
          <w:kern w:val="0"/>
          <w:sz w:val="24"/>
          <w:szCs w:val="24"/>
          <w:lang w:val="zh-CN"/>
        </w:rPr>
        <w:t xml:space="preserve"> 如果承包人出现拖欠农民工工资行为，经发包人查证属实的，发包人有权代承包人向农民工支付工资，代为支付的工资及发包人因此产生的相关费用及损失，发包人有权直接从未付工程费（包含质保金部分）中扣除；如出现农民工讨薪情况，自动视为承包人委托发包人代为支付农民工工资，承包人另需支付发包人违约金5万元且不得提出任何异议。</w:t>
      </w:r>
    </w:p>
    <w:p w14:paraId="2C565986">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lang w:val="zh-CN"/>
        </w:rPr>
      </w:pPr>
      <w:r>
        <w:rPr>
          <w:rFonts w:hint="eastAsia" w:ascii="宋体" w:hAnsi="宋体" w:eastAsia="宋体" w:cs="宋体"/>
          <w:kern w:val="0"/>
          <w:sz w:val="24"/>
          <w:szCs w:val="24"/>
        </w:rPr>
        <w:t>10</w:t>
      </w:r>
      <w:r>
        <w:rPr>
          <w:rFonts w:hint="eastAsia" w:ascii="宋体" w:hAnsi="宋体" w:eastAsia="宋体" w:cs="宋体"/>
          <w:kern w:val="0"/>
          <w:sz w:val="24"/>
          <w:szCs w:val="24"/>
          <w:lang w:val="zh-CN"/>
        </w:rPr>
        <w:t>.</w:t>
      </w:r>
      <w:r>
        <w:rPr>
          <w:rFonts w:ascii="宋体" w:hAnsi="宋体" w:eastAsia="宋体" w:cs="宋体"/>
          <w:kern w:val="0"/>
          <w:sz w:val="24"/>
          <w:szCs w:val="24"/>
          <w:lang w:val="zh-CN"/>
        </w:rPr>
        <w:t>10</w:t>
      </w:r>
      <w:r>
        <w:rPr>
          <w:rFonts w:hint="eastAsia" w:ascii="宋体" w:hAnsi="宋体" w:eastAsia="宋体" w:cs="宋体"/>
          <w:kern w:val="0"/>
          <w:sz w:val="24"/>
          <w:szCs w:val="24"/>
          <w:lang w:val="zh-CN"/>
        </w:rPr>
        <w:t xml:space="preserve"> 如因承包人原因导致发包人与承包人或第三方发生纠纷，承包人应承担发包人的全部维权费用，包括但不限于律师费、诉讼费、保全担保函费等。</w:t>
      </w:r>
    </w:p>
    <w:p w14:paraId="4AA4E47D">
      <w:pPr>
        <w:pStyle w:val="8"/>
        <w:spacing w:line="360" w:lineRule="auto"/>
        <w:ind w:firstLine="480" w:firstLineChars="200"/>
        <w:rPr>
          <w:rFonts w:ascii="宋体" w:hAnsi="宋体" w:eastAsia="宋体" w:cs="宋体"/>
          <w:kern w:val="0"/>
          <w:sz w:val="24"/>
          <w:szCs w:val="24"/>
          <w:lang w:val="zh-CN"/>
        </w:rPr>
      </w:pPr>
      <w:r>
        <w:rPr>
          <w:rFonts w:hint="eastAsia" w:ascii="宋体" w:hAnsi="宋体" w:eastAsia="宋体" w:cs="宋体"/>
          <w:kern w:val="0"/>
          <w:sz w:val="24"/>
          <w:szCs w:val="24"/>
          <w:lang w:val="zh-CN"/>
        </w:rPr>
        <w:t>1</w:t>
      </w:r>
      <w:r>
        <w:rPr>
          <w:rFonts w:ascii="宋体" w:hAnsi="宋体" w:eastAsia="宋体" w:cs="宋体"/>
          <w:kern w:val="0"/>
          <w:sz w:val="24"/>
          <w:szCs w:val="24"/>
          <w:lang w:val="zh-CN"/>
        </w:rPr>
        <w:t>0.11</w:t>
      </w:r>
      <w:r>
        <w:rPr>
          <w:rFonts w:hint="eastAsia" w:ascii="宋体" w:hAnsi="宋体" w:eastAsia="宋体" w:cs="宋体"/>
          <w:kern w:val="0"/>
          <w:sz w:val="24"/>
          <w:szCs w:val="24"/>
          <w:lang w:val="zh-CN"/>
        </w:rPr>
        <w:t>承包人未按招标文件及招标清单列出的品种、规格、型号、技术参数、品牌采购材料设备，发包人有权要求承包人将此项材料、设备清除出施工现场，承包人按该项材料中标总价的</w:t>
      </w:r>
      <w:r>
        <w:rPr>
          <w:rFonts w:ascii="宋体" w:hAnsi="宋体" w:eastAsia="宋体" w:cs="宋体"/>
          <w:kern w:val="0"/>
          <w:sz w:val="24"/>
          <w:szCs w:val="24"/>
          <w:lang w:val="zh-CN"/>
        </w:rPr>
        <w:t>10</w:t>
      </w:r>
      <w:r>
        <w:rPr>
          <w:rFonts w:hint="eastAsia" w:ascii="宋体" w:hAnsi="宋体" w:eastAsia="宋体" w:cs="宋体"/>
          <w:kern w:val="0"/>
          <w:sz w:val="24"/>
          <w:szCs w:val="24"/>
          <w:lang w:val="zh-CN"/>
        </w:rPr>
        <w:t>%向发包人支付违约金，同时发包人有权利要求承包人重新按谈判文件要求采购此项材料。</w:t>
      </w:r>
    </w:p>
    <w:p w14:paraId="1E8036D0">
      <w:pPr>
        <w:pStyle w:val="8"/>
        <w:spacing w:line="360" w:lineRule="auto"/>
        <w:ind w:firstLine="240" w:firstLineChars="100"/>
        <w:rPr>
          <w:rFonts w:ascii="宋体" w:hAnsi="宋体" w:eastAsia="宋体" w:cs="宋体"/>
          <w:kern w:val="0"/>
          <w:sz w:val="24"/>
          <w:szCs w:val="24"/>
          <w:lang w:val="zh-CN"/>
        </w:rPr>
      </w:pPr>
      <w:r>
        <w:rPr>
          <w:rFonts w:hint="eastAsia" w:ascii="宋体" w:hAnsi="宋体" w:eastAsia="宋体" w:cs="宋体"/>
          <w:kern w:val="0"/>
          <w:sz w:val="24"/>
          <w:szCs w:val="24"/>
          <w:lang w:val="zh-CN"/>
        </w:rPr>
        <w:t>1</w:t>
      </w:r>
      <w:r>
        <w:rPr>
          <w:rFonts w:ascii="宋体" w:hAnsi="宋体" w:eastAsia="宋体" w:cs="宋体"/>
          <w:kern w:val="0"/>
          <w:sz w:val="24"/>
          <w:szCs w:val="24"/>
          <w:lang w:val="zh-CN"/>
        </w:rPr>
        <w:t>0.12</w:t>
      </w:r>
      <w:r>
        <w:rPr>
          <w:rFonts w:hint="eastAsia" w:ascii="宋体" w:hAnsi="宋体" w:eastAsia="宋体" w:cs="宋体"/>
          <w:kern w:val="0"/>
          <w:sz w:val="24"/>
          <w:szCs w:val="24"/>
          <w:lang w:val="zh-CN"/>
        </w:rPr>
        <w:t>承包人提供的产品质量、规格、技术参数、品牌与招标文件要求不符，且超过两次及以上，经发包人书面警告仍不改正的，发包人有权利单方面解除合同，承包人已采购的产品发包人不支付费用，同时承包人需按此项材料投标总价的2</w:t>
      </w:r>
      <w:r>
        <w:rPr>
          <w:rFonts w:ascii="宋体" w:hAnsi="宋体" w:eastAsia="宋体" w:cs="宋体"/>
          <w:kern w:val="0"/>
          <w:sz w:val="24"/>
          <w:szCs w:val="24"/>
          <w:lang w:val="zh-CN"/>
        </w:rPr>
        <w:t>0%向发包人支付违约金</w:t>
      </w:r>
      <w:r>
        <w:rPr>
          <w:rFonts w:hint="eastAsia" w:ascii="宋体" w:hAnsi="宋体" w:eastAsia="宋体" w:cs="宋体"/>
          <w:kern w:val="0"/>
          <w:sz w:val="24"/>
          <w:szCs w:val="24"/>
          <w:lang w:val="zh-CN"/>
        </w:rPr>
        <w:t>。</w:t>
      </w:r>
    </w:p>
    <w:p w14:paraId="457D223F">
      <w:pPr>
        <w:pStyle w:val="8"/>
        <w:spacing w:line="360" w:lineRule="auto"/>
        <w:ind w:firstLine="210"/>
        <w:rPr>
          <w:rFonts w:ascii="宋体" w:hAnsi="宋体" w:eastAsia="宋体" w:cs="宋体"/>
          <w:kern w:val="0"/>
          <w:sz w:val="24"/>
          <w:szCs w:val="24"/>
          <w:lang w:val="zh-CN"/>
        </w:rPr>
      </w:pPr>
      <w:r>
        <w:rPr>
          <w:rFonts w:hint="eastAsia" w:ascii="宋体" w:hAnsi="宋体" w:eastAsia="宋体" w:cs="宋体"/>
          <w:kern w:val="0"/>
          <w:sz w:val="24"/>
          <w:szCs w:val="24"/>
          <w:lang w:val="zh-CN"/>
        </w:rPr>
        <w:t>1</w:t>
      </w:r>
      <w:r>
        <w:rPr>
          <w:rFonts w:ascii="宋体" w:hAnsi="宋体" w:eastAsia="宋体" w:cs="宋体"/>
          <w:kern w:val="0"/>
          <w:sz w:val="24"/>
          <w:szCs w:val="24"/>
          <w:lang w:val="zh-CN"/>
        </w:rPr>
        <w:t>0.13</w:t>
      </w:r>
      <w:r>
        <w:rPr>
          <w:rFonts w:hint="eastAsia" w:ascii="宋体" w:hAnsi="宋体" w:eastAsia="宋体" w:cs="宋体"/>
          <w:kern w:val="0"/>
          <w:sz w:val="24"/>
          <w:szCs w:val="24"/>
          <w:lang w:val="zh-CN"/>
        </w:rPr>
        <w:t>承包人拟采购的产品品牌、技术参数未在合同约定的时间内提交发包人审核造成的工期延误的，由承包人承担工期违约责任，造成总工期延误15日历天及以上的，发包人有权解除此项设备采购合同，承包人向发包人支付此项设备采购合同总金额5%的违约金，同时不免除承包人对此项设备及材料负有的质量责任。</w:t>
      </w:r>
    </w:p>
    <w:p w14:paraId="132848D7">
      <w:pPr>
        <w:spacing w:line="500" w:lineRule="exact"/>
        <w:ind w:firstLine="482" w:firstLineChars="200"/>
        <w:rPr>
          <w:rFonts w:ascii="Calibri" w:hAnsi="Calibri" w:eastAsia="宋体" w:cs="Times New Roman"/>
          <w:sz w:val="24"/>
        </w:rPr>
      </w:pPr>
      <w:r>
        <w:rPr>
          <w:rFonts w:hint="eastAsia" w:ascii="宋体" w:hAnsi="宋体" w:eastAsia="宋体" w:cs="宋体"/>
          <w:b/>
          <w:bCs/>
          <w:kern w:val="0"/>
          <w:sz w:val="24"/>
          <w:szCs w:val="24"/>
        </w:rPr>
        <w:t xml:space="preserve">第十一条 </w:t>
      </w:r>
      <w:r>
        <w:rPr>
          <w:rFonts w:hint="eastAsia" w:ascii="Calibri" w:hAnsi="Calibri" w:eastAsia="宋体" w:cs="宋体"/>
          <w:szCs w:val="24"/>
        </w:rPr>
        <w:t xml:space="preserve"> </w:t>
      </w:r>
      <w:r>
        <w:rPr>
          <w:rFonts w:hint="eastAsia" w:ascii="Calibri" w:hAnsi="Calibri" w:eastAsia="宋体" w:cs="Times New Roman"/>
          <w:sz w:val="24"/>
        </w:rPr>
        <w:t>本协议书一式</w:t>
      </w:r>
      <w:r>
        <w:rPr>
          <w:rFonts w:hint="eastAsia" w:ascii="Calibri" w:hAnsi="Calibri" w:eastAsia="宋体" w:cs="Times New Roman"/>
          <w:sz w:val="24"/>
          <w:u w:val="single"/>
        </w:rPr>
        <w:t xml:space="preserve"> </w:t>
      </w:r>
      <w:r>
        <w:rPr>
          <w:rFonts w:hint="eastAsia" w:ascii="Calibri" w:hAnsi="Calibri" w:eastAsia="宋体" w:cs="Times New Roman"/>
          <w:b/>
          <w:bCs/>
          <w:sz w:val="24"/>
          <w:u w:val="single"/>
        </w:rPr>
        <w:t xml:space="preserve">捌 </w:t>
      </w:r>
      <w:r>
        <w:rPr>
          <w:rFonts w:hint="eastAsia" w:ascii="Calibri" w:hAnsi="Calibri" w:eastAsia="宋体" w:cs="Times New Roman"/>
          <w:sz w:val="24"/>
        </w:rPr>
        <w:t>份，发包人执</w:t>
      </w:r>
      <w:r>
        <w:rPr>
          <w:rFonts w:hint="eastAsia" w:ascii="Calibri" w:hAnsi="Calibri" w:eastAsia="宋体" w:cs="Times New Roman"/>
          <w:sz w:val="24"/>
          <w:u w:val="single"/>
        </w:rPr>
        <w:t xml:space="preserve"> </w:t>
      </w:r>
      <w:r>
        <w:rPr>
          <w:rFonts w:hint="eastAsia" w:ascii="Calibri" w:hAnsi="Calibri" w:eastAsia="宋体" w:cs="Times New Roman"/>
          <w:b/>
          <w:bCs/>
          <w:sz w:val="24"/>
          <w:u w:val="single"/>
        </w:rPr>
        <w:t xml:space="preserve">陆 </w:t>
      </w:r>
      <w:r>
        <w:rPr>
          <w:rFonts w:hint="eastAsia" w:ascii="Calibri" w:hAnsi="Calibri" w:eastAsia="宋体" w:cs="Times New Roman"/>
          <w:sz w:val="24"/>
        </w:rPr>
        <w:t>份，承包人执</w:t>
      </w:r>
      <w:r>
        <w:rPr>
          <w:rFonts w:hint="eastAsia" w:ascii="Calibri" w:hAnsi="Calibri" w:eastAsia="宋体" w:cs="Times New Roman"/>
          <w:sz w:val="24"/>
          <w:u w:val="single"/>
        </w:rPr>
        <w:t xml:space="preserve"> </w:t>
      </w:r>
      <w:r>
        <w:rPr>
          <w:rFonts w:hint="eastAsia" w:ascii="Calibri" w:hAnsi="Calibri" w:eastAsia="宋体" w:cs="Times New Roman"/>
          <w:b/>
          <w:bCs/>
          <w:sz w:val="24"/>
          <w:u w:val="single"/>
        </w:rPr>
        <w:t xml:space="preserve">贰 </w:t>
      </w:r>
      <w:r>
        <w:rPr>
          <w:rFonts w:hint="eastAsia" w:ascii="Calibri" w:hAnsi="Calibri" w:eastAsia="宋体" w:cs="Times New Roman"/>
          <w:sz w:val="24"/>
        </w:rPr>
        <w:t>份。</w:t>
      </w:r>
    </w:p>
    <w:p w14:paraId="4551D506">
      <w:pPr>
        <w:autoSpaceDE w:val="0"/>
        <w:autoSpaceDN w:val="0"/>
        <w:adjustRightInd w:val="0"/>
        <w:spacing w:before="100" w:after="100" w:line="500" w:lineRule="exact"/>
        <w:ind w:left="210" w:leftChars="100" w:right="-334" w:rightChars="-159" w:firstLine="241" w:firstLineChars="100"/>
        <w:jc w:val="left"/>
        <w:rPr>
          <w:rFonts w:ascii="宋体" w:hAnsi="宋体" w:eastAsia="宋体" w:cs="宋体"/>
          <w:b/>
          <w:bCs/>
          <w:kern w:val="0"/>
          <w:sz w:val="24"/>
          <w:szCs w:val="24"/>
        </w:rPr>
      </w:pPr>
      <w:r>
        <w:rPr>
          <w:rFonts w:hint="eastAsia" w:ascii="宋体" w:hAnsi="宋体" w:eastAsia="宋体" w:cs="宋体"/>
          <w:b/>
          <w:bCs/>
          <w:kern w:val="0"/>
          <w:sz w:val="24"/>
          <w:szCs w:val="24"/>
        </w:rPr>
        <w:t xml:space="preserve">第十二条 </w:t>
      </w:r>
      <w:r>
        <w:rPr>
          <w:rFonts w:ascii="宋体" w:hAnsi="宋体" w:eastAsia="宋体" w:cs="宋体"/>
          <w:b/>
          <w:bCs/>
          <w:kern w:val="0"/>
          <w:sz w:val="24"/>
          <w:szCs w:val="24"/>
        </w:rPr>
        <w:t xml:space="preserve"> </w:t>
      </w:r>
      <w:r>
        <w:rPr>
          <w:rFonts w:hint="eastAsia" w:ascii="宋体" w:hAnsi="宋体" w:eastAsia="宋体" w:cs="宋体"/>
          <w:b/>
          <w:bCs/>
          <w:kern w:val="0"/>
          <w:sz w:val="24"/>
          <w:szCs w:val="24"/>
        </w:rPr>
        <w:t>争议解决</w:t>
      </w:r>
    </w:p>
    <w:p w14:paraId="16FAC403">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因履行本合同所发生的争议，双方应协商解决。若协商未果，双方可向发包人所在地人民法院提起诉讼。</w:t>
      </w:r>
    </w:p>
    <w:p w14:paraId="0DAE7D48">
      <w:pPr>
        <w:autoSpaceDE w:val="0"/>
        <w:autoSpaceDN w:val="0"/>
        <w:adjustRightInd w:val="0"/>
        <w:spacing w:before="100" w:after="100" w:line="500" w:lineRule="exact"/>
        <w:ind w:right="-334" w:rightChars="-159" w:firstLine="482" w:firstLineChars="200"/>
        <w:jc w:val="left"/>
        <w:rPr>
          <w:rFonts w:ascii="宋体" w:hAnsi="宋体" w:eastAsia="宋体" w:cs="宋体"/>
          <w:kern w:val="0"/>
          <w:sz w:val="24"/>
          <w:szCs w:val="24"/>
        </w:rPr>
      </w:pPr>
      <w:r>
        <w:rPr>
          <w:rFonts w:hint="eastAsia" w:ascii="宋体" w:hAnsi="宋体" w:eastAsia="宋体" w:cs="宋体"/>
          <w:b/>
          <w:bCs/>
          <w:kern w:val="0"/>
          <w:sz w:val="24"/>
          <w:szCs w:val="24"/>
        </w:rPr>
        <w:t>第十三条 通知及送达</w:t>
      </w:r>
    </w:p>
    <w:p w14:paraId="6A6522D8">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13.1 一方在本协议项下向对方发出的任何通知、要求或其他通讯，应当按照如下联系方式以当面递交、快递、挂号信等需签收的邮寄方式送达：</w:t>
      </w:r>
    </w:p>
    <w:p w14:paraId="47344E2D">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发 包 人：重庆</w:t>
      </w:r>
      <w:r>
        <w:rPr>
          <w:rFonts w:ascii="宋体" w:hAnsi="宋体" w:eastAsia="宋体" w:cs="宋体"/>
          <w:kern w:val="0"/>
          <w:sz w:val="24"/>
          <w:szCs w:val="24"/>
        </w:rPr>
        <w:t>九龙现代产业发展集团有限公司</w:t>
      </w:r>
    </w:p>
    <w:p w14:paraId="3610436A">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地    址：重庆市九龙坡区西彭镇铝城大道88号</w:t>
      </w:r>
    </w:p>
    <w:p w14:paraId="7B6BBB97">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收件部门：审计法务部</w:t>
      </w:r>
    </w:p>
    <w:p w14:paraId="4101BD7C">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联 系 人：张老师</w:t>
      </w:r>
    </w:p>
    <w:p w14:paraId="086486D4">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电    话：0</w:t>
      </w:r>
      <w:r>
        <w:rPr>
          <w:rFonts w:ascii="宋体" w:hAnsi="宋体" w:eastAsia="宋体" w:cs="宋体"/>
          <w:kern w:val="0"/>
          <w:sz w:val="24"/>
          <w:szCs w:val="24"/>
        </w:rPr>
        <w:t>23-</w:t>
      </w:r>
      <w:r>
        <w:rPr>
          <w:rFonts w:hint="eastAsia" w:ascii="宋体" w:hAnsi="宋体" w:eastAsia="宋体" w:cs="宋体"/>
          <w:kern w:val="0"/>
          <w:sz w:val="24"/>
          <w:szCs w:val="24"/>
        </w:rPr>
        <w:t>68158805</w:t>
      </w:r>
    </w:p>
    <w:p w14:paraId="75C7D0B0">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承 包 人：***</w:t>
      </w:r>
    </w:p>
    <w:p w14:paraId="3E6AFF3B">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地    址：</w:t>
      </w:r>
    </w:p>
    <w:p w14:paraId="6E78DC03">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联 系 人：</w:t>
      </w:r>
    </w:p>
    <w:p w14:paraId="37D9A8F3">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电    话：</w:t>
      </w:r>
    </w:p>
    <w:p w14:paraId="5981F1BB">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13.2 除双方另有约定外，本协议项下需发出的任何通知、要求或其他通讯，在下述情况下视为有效送达：</w:t>
      </w:r>
    </w:p>
    <w:p w14:paraId="0BB5B176">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13.2.1如当面递交的，在递交时即为送达；</w:t>
      </w:r>
    </w:p>
    <w:p w14:paraId="2765E556">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13.2.2如用快递、挂号信等需签收的邮寄方式送达的，通知方按照本协议约定的联系方式交付邮寄机关邮寄后的第3日，即为送达；</w:t>
      </w:r>
    </w:p>
    <w:p w14:paraId="7093456D">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13.3任何一方如需变更上述送达地址的，应在变更后三个工作日内以书面形式将变更后的送达地址通知对方，新的送达地址自对方收到该通知之日起有效；未按前述约定方式变更的，上述送达地址仍为有效送达地址；</w:t>
      </w:r>
    </w:p>
    <w:p w14:paraId="0BEF179D">
      <w:pPr>
        <w:autoSpaceDE w:val="0"/>
        <w:autoSpaceDN w:val="0"/>
        <w:adjustRightInd w:val="0"/>
        <w:spacing w:before="100" w:after="100" w:line="500" w:lineRule="exact"/>
        <w:ind w:right="-334" w:rightChars="-159" w:firstLine="480" w:firstLineChars="200"/>
        <w:rPr>
          <w:rFonts w:ascii="宋体" w:hAnsi="宋体" w:eastAsia="宋体" w:cs="宋体"/>
          <w:kern w:val="0"/>
          <w:sz w:val="24"/>
          <w:szCs w:val="24"/>
        </w:rPr>
      </w:pPr>
      <w:r>
        <w:rPr>
          <w:rFonts w:hint="eastAsia" w:ascii="宋体" w:hAnsi="宋体" w:eastAsia="宋体" w:cs="宋体"/>
          <w:kern w:val="0"/>
          <w:sz w:val="24"/>
          <w:szCs w:val="24"/>
        </w:rPr>
        <w:t>13.4双方一致确认，前述约定的联系方式为各方履行合同义务、解决合同争议时接收对方文件信函或司法机关（法院、仲裁机构）诉讼、仲裁文书的送达地址及联系方式。</w:t>
      </w:r>
    </w:p>
    <w:p w14:paraId="2EA238A9">
      <w:pPr>
        <w:autoSpaceDE w:val="0"/>
        <w:autoSpaceDN w:val="0"/>
        <w:adjustRightInd w:val="0"/>
        <w:spacing w:before="100" w:after="100" w:line="500" w:lineRule="exact"/>
        <w:ind w:right="-334" w:rightChars="-159" w:firstLine="482" w:firstLineChars="200"/>
        <w:jc w:val="left"/>
        <w:rPr>
          <w:rFonts w:ascii="宋体" w:hAnsi="宋体" w:eastAsia="宋体" w:cs="宋体"/>
          <w:b/>
          <w:bCs/>
          <w:kern w:val="0"/>
          <w:sz w:val="24"/>
          <w:szCs w:val="24"/>
        </w:rPr>
      </w:pPr>
      <w:r>
        <w:rPr>
          <w:rFonts w:hint="eastAsia" w:ascii="宋体" w:hAnsi="宋体" w:eastAsia="宋体" w:cs="宋体"/>
          <w:b/>
          <w:bCs/>
          <w:kern w:val="0"/>
          <w:sz w:val="24"/>
          <w:szCs w:val="24"/>
        </w:rPr>
        <w:t>第十四条</w:t>
      </w:r>
      <w:r>
        <w:rPr>
          <w:rFonts w:hint="eastAsia" w:ascii="宋体" w:hAnsi="宋体" w:eastAsia="宋体" w:cs="宋体"/>
          <w:kern w:val="0"/>
          <w:sz w:val="24"/>
          <w:szCs w:val="24"/>
        </w:rPr>
        <w:t xml:space="preserve"> </w:t>
      </w:r>
      <w:r>
        <w:rPr>
          <w:rFonts w:hint="eastAsia" w:ascii="宋体" w:hAnsi="宋体" w:eastAsia="宋体" w:cs="宋体"/>
          <w:b/>
          <w:bCs/>
          <w:kern w:val="0"/>
          <w:sz w:val="24"/>
          <w:szCs w:val="24"/>
        </w:rPr>
        <w:t>其他约定</w:t>
      </w:r>
    </w:p>
    <w:p w14:paraId="372CA5E3">
      <w:pPr>
        <w:autoSpaceDE w:val="0"/>
        <w:autoSpaceDN w:val="0"/>
        <w:adjustRightInd w:val="0"/>
        <w:spacing w:before="100" w:after="100" w:line="500" w:lineRule="exact"/>
        <w:ind w:right="-334" w:rightChars="-159" w:firstLine="480" w:firstLineChars="200"/>
        <w:jc w:val="left"/>
        <w:rPr>
          <w:rFonts w:ascii="宋体" w:hAnsi="宋体" w:eastAsia="宋体" w:cs="宋体"/>
          <w:kern w:val="0"/>
          <w:sz w:val="24"/>
          <w:szCs w:val="24"/>
        </w:rPr>
      </w:pPr>
      <w:r>
        <w:rPr>
          <w:rFonts w:hint="eastAsia" w:ascii="宋体" w:hAnsi="宋体" w:eastAsia="宋体" w:cs="宋体"/>
          <w:kern w:val="0"/>
          <w:sz w:val="24"/>
          <w:szCs w:val="24"/>
        </w:rPr>
        <w:t>14.1 承包人向发包人承诺按照合同约定进行施工、竣工并承担工程相关法律责任及经济责任；</w:t>
      </w:r>
    </w:p>
    <w:p w14:paraId="62BB3362">
      <w:pPr>
        <w:spacing w:line="500" w:lineRule="exact"/>
        <w:ind w:firstLine="480" w:firstLineChars="200"/>
        <w:rPr>
          <w:rFonts w:ascii="宋体" w:hAnsi="宋体" w:eastAsia="宋体" w:cs="宋体"/>
          <w:kern w:val="0"/>
          <w:sz w:val="24"/>
        </w:rPr>
      </w:pPr>
      <w:r>
        <w:rPr>
          <w:rFonts w:hint="eastAsia" w:ascii="宋体" w:hAnsi="宋体" w:eastAsia="宋体" w:cs="宋体"/>
          <w:kern w:val="0"/>
          <w:sz w:val="24"/>
          <w:szCs w:val="24"/>
        </w:rPr>
        <w:t xml:space="preserve">14.2 </w:t>
      </w:r>
      <w:r>
        <w:rPr>
          <w:rFonts w:hint="eastAsia" w:ascii="宋体" w:hAnsi="宋体" w:eastAsia="宋体" w:cs="宋体"/>
          <w:kern w:val="0"/>
          <w:sz w:val="24"/>
        </w:rPr>
        <w:t>项目经理未经批准，擅自离开施工现场的违约责任：承担违约金1000元/人.次.日；</w:t>
      </w:r>
    </w:p>
    <w:p w14:paraId="2A1C7C91">
      <w:pPr>
        <w:spacing w:line="500" w:lineRule="exact"/>
        <w:ind w:firstLine="480" w:firstLineChars="200"/>
        <w:rPr>
          <w:rFonts w:ascii="宋体" w:hAnsi="宋体" w:eastAsia="宋体" w:cs="宋体"/>
          <w:kern w:val="0"/>
          <w:sz w:val="24"/>
        </w:rPr>
      </w:pPr>
      <w:r>
        <w:rPr>
          <w:rFonts w:hint="eastAsia" w:ascii="宋体" w:hAnsi="宋体" w:eastAsia="宋体" w:cs="宋体"/>
          <w:kern w:val="0"/>
          <w:sz w:val="24"/>
          <w:szCs w:val="24"/>
        </w:rPr>
        <w:t xml:space="preserve">14.3 </w:t>
      </w:r>
      <w:r>
        <w:rPr>
          <w:rFonts w:hint="eastAsia" w:ascii="宋体" w:hAnsi="宋体" w:eastAsia="宋体" w:cs="宋体"/>
          <w:kern w:val="0"/>
          <w:sz w:val="24"/>
        </w:rPr>
        <w:t>承包人擅自更换项目经理的违约责任：承包人擅自调整项目经理，承担违约金50000元/人.次；</w:t>
      </w:r>
    </w:p>
    <w:p w14:paraId="6922791E">
      <w:pPr>
        <w:spacing w:line="500" w:lineRule="exact"/>
        <w:ind w:firstLine="480" w:firstLineChars="200"/>
        <w:rPr>
          <w:rFonts w:ascii="宋体" w:hAnsi="宋体" w:eastAsia="宋体" w:cs="宋体"/>
          <w:kern w:val="0"/>
          <w:sz w:val="24"/>
        </w:rPr>
      </w:pPr>
      <w:r>
        <w:rPr>
          <w:rFonts w:hint="eastAsia" w:ascii="宋体" w:hAnsi="宋体" w:eastAsia="宋体" w:cs="宋体"/>
          <w:kern w:val="0"/>
          <w:sz w:val="24"/>
          <w:szCs w:val="24"/>
        </w:rPr>
        <w:t xml:space="preserve">14.4 </w:t>
      </w:r>
      <w:r>
        <w:rPr>
          <w:rFonts w:hint="eastAsia" w:ascii="宋体" w:hAnsi="宋体" w:eastAsia="宋体" w:cs="宋体"/>
          <w:kern w:val="0"/>
          <w:sz w:val="24"/>
        </w:rPr>
        <w:t>承包人无正当理由拒绝更换项目经理的违约责任：从拒绝更换之日起每日承担10000元违约金，累计计算。</w:t>
      </w:r>
    </w:p>
    <w:p w14:paraId="08701D4F">
      <w:pPr>
        <w:keepNext/>
        <w:keepLines/>
        <w:spacing w:before="260" w:after="260" w:line="416" w:lineRule="auto"/>
        <w:ind w:firstLine="480" w:firstLineChars="200"/>
        <w:outlineLvl w:val="2"/>
        <w:rPr>
          <w:rFonts w:ascii="宋体" w:hAnsi="宋体" w:eastAsia="宋体" w:cs="宋体"/>
          <w:kern w:val="0"/>
          <w:sz w:val="24"/>
          <w:szCs w:val="24"/>
        </w:rPr>
      </w:pPr>
      <w:r>
        <w:rPr>
          <w:rFonts w:hint="eastAsia" w:ascii="宋体" w:hAnsi="宋体" w:eastAsia="宋体" w:cs="宋体"/>
          <w:kern w:val="0"/>
          <w:sz w:val="24"/>
          <w:szCs w:val="24"/>
        </w:rPr>
        <w:t>（以下无正文，为协议签署页）</w:t>
      </w:r>
    </w:p>
    <w:p w14:paraId="5FA79014">
      <w:pPr>
        <w:autoSpaceDE w:val="0"/>
        <w:autoSpaceDN w:val="0"/>
        <w:adjustRightInd w:val="0"/>
        <w:spacing w:line="360" w:lineRule="auto"/>
        <w:ind w:right="-512" w:rightChars="-244"/>
        <w:jc w:val="left"/>
        <w:rPr>
          <w:rFonts w:ascii="宋体" w:hAnsi="宋体" w:eastAsia="宋体" w:cs="宋体"/>
          <w:b/>
          <w:sz w:val="32"/>
          <w:szCs w:val="32"/>
          <w:lang w:val="zh-CN"/>
        </w:rPr>
      </w:pPr>
    </w:p>
    <w:p w14:paraId="3CD9E69F">
      <w:pPr>
        <w:pStyle w:val="13"/>
        <w:ind w:firstLine="210"/>
        <w:rPr>
          <w:lang w:val="zh-CN"/>
        </w:rPr>
      </w:pPr>
    </w:p>
    <w:p w14:paraId="007F5940">
      <w:pPr>
        <w:pStyle w:val="13"/>
        <w:ind w:firstLine="210"/>
        <w:rPr>
          <w:lang w:val="zh-CN"/>
        </w:rPr>
      </w:pPr>
    </w:p>
    <w:p w14:paraId="1564B6D3">
      <w:pPr>
        <w:pStyle w:val="13"/>
        <w:ind w:firstLine="210"/>
        <w:rPr>
          <w:lang w:val="zh-CN"/>
        </w:rPr>
      </w:pPr>
    </w:p>
    <w:p w14:paraId="75316E9D">
      <w:pPr>
        <w:pStyle w:val="13"/>
        <w:ind w:firstLine="210"/>
        <w:rPr>
          <w:lang w:val="zh-CN"/>
        </w:rPr>
      </w:pPr>
    </w:p>
    <w:p w14:paraId="180FD2E8">
      <w:pPr>
        <w:pStyle w:val="13"/>
        <w:ind w:firstLine="210"/>
        <w:rPr>
          <w:lang w:val="zh-CN"/>
        </w:rPr>
      </w:pPr>
    </w:p>
    <w:p w14:paraId="3408BC2E">
      <w:pPr>
        <w:pStyle w:val="13"/>
        <w:ind w:firstLine="210"/>
        <w:rPr>
          <w:lang w:val="zh-CN"/>
        </w:rPr>
      </w:pPr>
    </w:p>
    <w:p w14:paraId="5A54D1D3">
      <w:pPr>
        <w:pStyle w:val="13"/>
        <w:ind w:firstLine="210"/>
        <w:rPr>
          <w:lang w:val="zh-CN"/>
        </w:rPr>
      </w:pPr>
    </w:p>
    <w:p w14:paraId="75813FB4">
      <w:pPr>
        <w:pStyle w:val="13"/>
        <w:ind w:firstLine="210"/>
        <w:rPr>
          <w:lang w:val="zh-CN"/>
        </w:rPr>
      </w:pPr>
    </w:p>
    <w:p w14:paraId="5207FE7C">
      <w:pPr>
        <w:pStyle w:val="13"/>
        <w:ind w:firstLine="210"/>
        <w:rPr>
          <w:lang w:val="zh-CN"/>
        </w:rPr>
      </w:pPr>
    </w:p>
    <w:p w14:paraId="260EBD54">
      <w:pPr>
        <w:pStyle w:val="13"/>
        <w:ind w:firstLine="210"/>
        <w:rPr>
          <w:lang w:val="zh-CN"/>
        </w:rPr>
      </w:pPr>
    </w:p>
    <w:p w14:paraId="21FC8E73">
      <w:pPr>
        <w:autoSpaceDE w:val="0"/>
        <w:autoSpaceDN w:val="0"/>
        <w:adjustRightInd w:val="0"/>
        <w:spacing w:line="360" w:lineRule="auto"/>
        <w:ind w:right="-512" w:rightChars="-244"/>
        <w:jc w:val="left"/>
        <w:rPr>
          <w:rFonts w:ascii="宋体" w:hAnsi="宋体" w:eastAsia="宋体" w:cs="宋体"/>
          <w:b/>
          <w:sz w:val="32"/>
          <w:szCs w:val="32"/>
          <w:lang w:val="zh-CN"/>
        </w:rPr>
      </w:pPr>
    </w:p>
    <w:p w14:paraId="6DF6E123">
      <w:pPr>
        <w:autoSpaceDE w:val="0"/>
        <w:autoSpaceDN w:val="0"/>
        <w:adjustRightInd w:val="0"/>
        <w:spacing w:line="360" w:lineRule="auto"/>
        <w:ind w:right="-512" w:rightChars="-244"/>
        <w:jc w:val="left"/>
        <w:rPr>
          <w:rFonts w:ascii="宋体" w:hAnsi="宋体" w:eastAsia="宋体" w:cs="宋体"/>
          <w:b/>
          <w:sz w:val="32"/>
          <w:szCs w:val="32"/>
          <w:lang w:val="zh-CN"/>
        </w:rPr>
      </w:pPr>
      <w:r>
        <w:rPr>
          <w:rFonts w:hint="eastAsia" w:ascii="宋体" w:hAnsi="宋体" w:eastAsia="宋体" w:cs="宋体"/>
          <w:b/>
          <w:sz w:val="32"/>
          <w:szCs w:val="32"/>
          <w:lang w:val="zh-CN"/>
        </w:rPr>
        <w:t>附</w:t>
      </w:r>
      <w:r>
        <w:rPr>
          <w:rFonts w:ascii="宋体" w:hAnsi="宋体" w:eastAsia="宋体" w:cs="宋体"/>
          <w:b/>
          <w:sz w:val="32"/>
          <w:szCs w:val="32"/>
          <w:lang w:val="zh-CN"/>
        </w:rPr>
        <w:t>件</w:t>
      </w:r>
      <w:r>
        <w:rPr>
          <w:rFonts w:hint="eastAsia" w:ascii="宋体" w:hAnsi="宋体" w:eastAsia="宋体" w:cs="宋体"/>
          <w:b/>
          <w:sz w:val="32"/>
          <w:szCs w:val="32"/>
          <w:lang w:val="zh-CN"/>
        </w:rPr>
        <w:t>一</w:t>
      </w:r>
    </w:p>
    <w:p w14:paraId="51A17829">
      <w:pPr>
        <w:keepNext/>
        <w:keepLines/>
        <w:spacing w:before="260" w:after="260" w:line="416" w:lineRule="auto"/>
        <w:jc w:val="center"/>
        <w:outlineLvl w:val="2"/>
        <w:rPr>
          <w:rFonts w:ascii="Times New Roman" w:hAnsi="Times New Roman" w:eastAsia="宋体" w:cs="Times New Roman"/>
          <w:sz w:val="36"/>
          <w:szCs w:val="32"/>
          <w:lang w:val="zh-CN"/>
        </w:rPr>
      </w:pPr>
      <w:r>
        <w:rPr>
          <w:rFonts w:hint="eastAsia" w:ascii="宋体" w:hAnsi="宋体" w:eastAsia="宋体" w:cs="宋体"/>
          <w:bCs/>
          <w:sz w:val="36"/>
          <w:szCs w:val="36"/>
          <w:lang w:val="zh-CN"/>
        </w:rPr>
        <w:t>重庆</w:t>
      </w:r>
      <w:r>
        <w:rPr>
          <w:rFonts w:ascii="宋体" w:hAnsi="宋体" w:eastAsia="宋体" w:cs="宋体"/>
          <w:bCs/>
          <w:sz w:val="36"/>
          <w:szCs w:val="36"/>
          <w:lang w:val="zh-CN"/>
        </w:rPr>
        <w:t>九龙现代产业发展集团有限公司</w:t>
      </w:r>
      <w:r>
        <w:rPr>
          <w:rFonts w:ascii="Times New Roman" w:hAnsi="Times New Roman" w:eastAsia="宋体" w:cs="Times New Roman"/>
          <w:sz w:val="36"/>
          <w:szCs w:val="32"/>
          <w:lang w:val="zh-CN"/>
        </w:rPr>
        <w:t>202</w:t>
      </w:r>
      <w:r>
        <w:rPr>
          <w:rFonts w:hint="eastAsia" w:ascii="Times New Roman" w:hAnsi="Times New Roman" w:eastAsia="宋体" w:cs="Times New Roman"/>
          <w:sz w:val="36"/>
          <w:szCs w:val="32"/>
        </w:rPr>
        <w:t>5</w:t>
      </w:r>
      <w:r>
        <w:rPr>
          <w:rFonts w:hint="eastAsia" w:ascii="Times New Roman" w:hAnsi="Times New Roman" w:eastAsia="宋体" w:cs="Times New Roman"/>
          <w:sz w:val="36"/>
          <w:szCs w:val="32"/>
          <w:lang w:val="zh-CN"/>
        </w:rPr>
        <w:t>年企业</w:t>
      </w:r>
    </w:p>
    <w:p w14:paraId="3B19BE2B">
      <w:pPr>
        <w:autoSpaceDE w:val="0"/>
        <w:autoSpaceDN w:val="0"/>
        <w:adjustRightInd w:val="0"/>
        <w:spacing w:line="360" w:lineRule="auto"/>
        <w:ind w:left="-358" w:leftChars="-171" w:right="-512" w:rightChars="-244" w:hanging="1"/>
        <w:jc w:val="center"/>
        <w:rPr>
          <w:rFonts w:ascii="Calibri" w:hAnsi="Calibri" w:eastAsia="宋体" w:cs="Times New Roman"/>
          <w:b/>
          <w:bCs/>
          <w:sz w:val="36"/>
          <w:szCs w:val="32"/>
          <w:lang w:val="zh-CN"/>
        </w:rPr>
      </w:pPr>
      <w:r>
        <w:rPr>
          <w:rFonts w:hint="eastAsia" w:ascii="Calibri" w:hAnsi="Calibri" w:eastAsia="宋体" w:cs="Times New Roman"/>
          <w:b/>
          <w:bCs/>
          <w:sz w:val="36"/>
          <w:szCs w:val="32"/>
          <w:lang w:val="zh-CN"/>
        </w:rPr>
        <w:t>安全工作目标责任书</w:t>
      </w:r>
    </w:p>
    <w:p w14:paraId="422322F2">
      <w:pPr>
        <w:autoSpaceDE w:val="0"/>
        <w:autoSpaceDN w:val="0"/>
        <w:adjustRightInd w:val="0"/>
        <w:spacing w:line="360" w:lineRule="auto"/>
        <w:ind w:left="-358" w:leftChars="-171" w:right="-512" w:rightChars="-244" w:hanging="1"/>
        <w:jc w:val="center"/>
        <w:rPr>
          <w:rFonts w:ascii="Calibri" w:hAnsi="Calibri" w:eastAsia="宋体" w:cs="宋体"/>
          <w:sz w:val="32"/>
          <w:szCs w:val="32"/>
          <w:lang w:val="zh-CN"/>
        </w:rPr>
      </w:pPr>
    </w:p>
    <w:p w14:paraId="29AC025B">
      <w:pPr>
        <w:autoSpaceDE w:val="0"/>
        <w:autoSpaceDN w:val="0"/>
        <w:adjustRightInd w:val="0"/>
        <w:spacing w:line="360" w:lineRule="auto"/>
        <w:ind w:left="-357" w:leftChars="-170" w:right="-512" w:rightChars="-244" w:firstLine="480" w:firstLineChars="200"/>
        <w:jc w:val="left"/>
        <w:rPr>
          <w:rFonts w:ascii="宋体" w:hAnsi="宋体" w:eastAsia="宋体" w:cs="Times New Roman"/>
          <w:sz w:val="24"/>
          <w:lang w:val="zh-CN"/>
        </w:rPr>
      </w:pPr>
      <w:r>
        <w:rPr>
          <w:rFonts w:hint="eastAsia" w:ascii="宋体" w:hAnsi="宋体" w:eastAsia="宋体" w:cs="Times New Roman"/>
          <w:sz w:val="24"/>
          <w:lang w:val="zh-CN"/>
        </w:rPr>
        <w:t>项目</w:t>
      </w:r>
      <w:r>
        <w:rPr>
          <w:rFonts w:ascii="宋体" w:hAnsi="宋体" w:eastAsia="宋体" w:cs="Times New Roman"/>
          <w:sz w:val="24"/>
          <w:lang w:val="zh-CN"/>
        </w:rPr>
        <w:t>业主：</w:t>
      </w:r>
      <w:r>
        <w:rPr>
          <w:rFonts w:hint="eastAsia" w:ascii="宋体" w:hAnsi="宋体" w:eastAsia="宋体" w:cs="Times New Roman"/>
          <w:sz w:val="24"/>
          <w:u w:val="single"/>
        </w:rPr>
        <w:t>重庆九龙</w:t>
      </w:r>
      <w:r>
        <w:rPr>
          <w:rFonts w:ascii="宋体" w:hAnsi="宋体" w:eastAsia="宋体" w:cs="Times New Roman"/>
          <w:sz w:val="24"/>
          <w:u w:val="single"/>
        </w:rPr>
        <w:t>现代产业发展集团</w:t>
      </w:r>
      <w:r>
        <w:rPr>
          <w:rFonts w:hint="eastAsia" w:ascii="宋体" w:hAnsi="宋体" w:eastAsia="宋体" w:cs="Times New Roman"/>
          <w:sz w:val="24"/>
          <w:u w:val="single"/>
        </w:rPr>
        <w:t>有限公司</w:t>
      </w:r>
    </w:p>
    <w:p w14:paraId="2E71CD70">
      <w:pPr>
        <w:autoSpaceDE w:val="0"/>
        <w:autoSpaceDN w:val="0"/>
        <w:adjustRightInd w:val="0"/>
        <w:spacing w:line="360" w:lineRule="auto"/>
        <w:ind w:left="-357" w:leftChars="-170" w:right="-512" w:rightChars="-244" w:firstLine="480" w:firstLineChars="200"/>
        <w:jc w:val="left"/>
        <w:rPr>
          <w:rFonts w:ascii="宋体" w:hAnsi="宋体" w:eastAsia="宋体" w:cs="Times New Roman"/>
          <w:sz w:val="24"/>
          <w:lang w:val="zh-CN"/>
        </w:rPr>
      </w:pPr>
      <w:r>
        <w:rPr>
          <w:rFonts w:hint="eastAsia" w:ascii="宋体" w:hAnsi="宋体" w:eastAsia="宋体" w:cs="Times New Roman"/>
          <w:sz w:val="24"/>
          <w:lang w:val="zh-CN"/>
        </w:rPr>
        <w:t>承</w:t>
      </w:r>
      <w:r>
        <w:rPr>
          <w:rFonts w:hint="eastAsia" w:ascii="宋体" w:hAnsi="宋体" w:eastAsia="宋体" w:cs="Times New Roman"/>
          <w:sz w:val="24"/>
        </w:rPr>
        <w:t xml:space="preserve"> </w:t>
      </w:r>
      <w:r>
        <w:rPr>
          <w:rFonts w:hint="eastAsia" w:ascii="宋体" w:hAnsi="宋体" w:eastAsia="宋体" w:cs="Times New Roman"/>
          <w:sz w:val="24"/>
          <w:lang w:val="zh-CN"/>
        </w:rPr>
        <w:t>包</w:t>
      </w:r>
      <w:r>
        <w:rPr>
          <w:rFonts w:hint="eastAsia" w:ascii="宋体" w:hAnsi="宋体" w:eastAsia="宋体" w:cs="Times New Roman"/>
          <w:sz w:val="24"/>
        </w:rPr>
        <w:t xml:space="preserve"> </w:t>
      </w:r>
      <w:r>
        <w:rPr>
          <w:rFonts w:hint="eastAsia" w:ascii="宋体" w:hAnsi="宋体" w:eastAsia="宋体" w:cs="Times New Roman"/>
          <w:sz w:val="24"/>
          <w:lang w:val="zh-CN"/>
        </w:rPr>
        <w:t>人：</w:t>
      </w:r>
      <w:r>
        <w:rPr>
          <w:rFonts w:hint="eastAsia" w:ascii="宋体" w:hAnsi="宋体" w:eastAsia="宋体" w:cs="Times New Roman"/>
          <w:sz w:val="24"/>
          <w:u w:val="single"/>
          <w:lang w:val="zh-CN"/>
        </w:rPr>
        <w:t xml:space="preserve">*************************  </w:t>
      </w:r>
      <w:r>
        <w:rPr>
          <w:rFonts w:hint="eastAsia" w:ascii="宋体" w:hAnsi="宋体" w:eastAsia="宋体" w:cs="Times New Roman"/>
          <w:sz w:val="24"/>
          <w:lang w:val="zh-CN"/>
        </w:rPr>
        <w:t xml:space="preserve">  </w:t>
      </w:r>
    </w:p>
    <w:p w14:paraId="284FE60A">
      <w:pPr>
        <w:autoSpaceDE w:val="0"/>
        <w:autoSpaceDN w:val="0"/>
        <w:adjustRightInd w:val="0"/>
        <w:spacing w:line="360" w:lineRule="auto"/>
        <w:ind w:left="-357" w:leftChars="-170" w:right="-512" w:rightChars="-244" w:firstLine="480" w:firstLineChars="200"/>
        <w:jc w:val="left"/>
        <w:rPr>
          <w:rFonts w:ascii="宋体" w:hAnsi="宋体" w:eastAsia="宋体" w:cs="Times New Roman"/>
          <w:sz w:val="24"/>
          <w:lang w:val="zh-CN"/>
        </w:rPr>
      </w:pPr>
      <w:r>
        <w:rPr>
          <w:rFonts w:hint="eastAsia" w:ascii="宋体" w:hAnsi="宋体" w:eastAsia="宋体" w:cs="Times New Roman"/>
          <w:sz w:val="24"/>
          <w:lang w:val="zh-CN"/>
        </w:rPr>
        <w:t>为适应安全生产的需要，进一步加强集团公司安全生产的监督管理，预防和减少各类伤亡事故，认真贯彻“安全第一、预防为主”的方针，树立安全工作“责任重于泰山”的思想，坚持谁主管、谁负责的原则，进一步落实安全生产责任制，强化目标管理，确保今年集团公司安全工作目标的实现，经承发包双方同意，签订本责任书。</w:t>
      </w:r>
    </w:p>
    <w:p w14:paraId="5A227ADE">
      <w:pPr>
        <w:autoSpaceDE w:val="0"/>
        <w:autoSpaceDN w:val="0"/>
        <w:adjustRightInd w:val="0"/>
        <w:spacing w:line="360" w:lineRule="auto"/>
        <w:ind w:left="-357" w:leftChars="-170" w:right="-512" w:rightChars="-244" w:firstLine="200"/>
        <w:jc w:val="left"/>
        <w:rPr>
          <w:rFonts w:ascii="宋体" w:hAnsi="宋体" w:eastAsia="宋体" w:cs="Times New Roman"/>
          <w:b/>
          <w:sz w:val="24"/>
          <w:lang w:val="zh-CN"/>
        </w:rPr>
      </w:pPr>
      <w:r>
        <w:rPr>
          <w:rFonts w:hint="eastAsia" w:ascii="宋体" w:hAnsi="宋体" w:eastAsia="宋体" w:cs="Times New Roman"/>
          <w:b/>
          <w:sz w:val="24"/>
          <w:lang w:val="zh-CN"/>
        </w:rPr>
        <w:t>一．承包人安全生产工作职责:</w:t>
      </w:r>
    </w:p>
    <w:p w14:paraId="7A007751">
      <w:pPr>
        <w:autoSpaceDE w:val="0"/>
        <w:autoSpaceDN w:val="0"/>
        <w:adjustRightInd w:val="0"/>
        <w:spacing w:line="360" w:lineRule="auto"/>
        <w:ind w:left="-359" w:leftChars="-171" w:right="-512" w:rightChars="-244" w:firstLine="200"/>
        <w:jc w:val="left"/>
        <w:rPr>
          <w:rFonts w:ascii="宋体" w:hAnsi="宋体" w:eastAsia="宋体" w:cs="Times New Roman"/>
          <w:sz w:val="24"/>
          <w:lang w:val="zh-CN"/>
        </w:rPr>
      </w:pPr>
      <w:r>
        <w:rPr>
          <w:rFonts w:hint="eastAsia" w:ascii="宋体" w:hAnsi="宋体" w:eastAsia="宋体" w:cs="Times New Roman"/>
          <w:sz w:val="24"/>
          <w:lang w:val="zh-CN"/>
        </w:rPr>
        <w:t xml:space="preserve"> 1</w:t>
      </w:r>
      <w:r>
        <w:rPr>
          <w:rFonts w:hint="eastAsia" w:ascii="宋体" w:hAnsi="宋体" w:eastAsia="宋体" w:cs="Times New Roman"/>
          <w:sz w:val="24"/>
        </w:rPr>
        <w:t>.</w:t>
      </w:r>
      <w:r>
        <w:rPr>
          <w:rFonts w:hint="eastAsia" w:ascii="宋体" w:hAnsi="宋体" w:eastAsia="宋体" w:cs="Times New Roman"/>
          <w:sz w:val="24"/>
          <w:lang w:val="zh-CN"/>
        </w:rPr>
        <w:t>认真贯彻执行国家和地方政府以及行政主管部门颁发制定的有关安全生产的方针、政策和法律、法规、规章及制度，组织好本单位的安全生产，自觉接受国家监督、行业管理和群众监督。</w:t>
      </w:r>
    </w:p>
    <w:p w14:paraId="427BFB3A">
      <w:pPr>
        <w:autoSpaceDE w:val="0"/>
        <w:autoSpaceDN w:val="0"/>
        <w:adjustRightInd w:val="0"/>
        <w:spacing w:line="360" w:lineRule="auto"/>
        <w:ind w:left="-359" w:leftChars="-171" w:right="-512" w:rightChars="-244" w:firstLine="468" w:firstLineChars="195"/>
        <w:jc w:val="left"/>
        <w:rPr>
          <w:rFonts w:ascii="宋体" w:hAnsi="宋体" w:eastAsia="宋体" w:cs="Times New Roman"/>
          <w:sz w:val="24"/>
          <w:lang w:val="zh-CN"/>
        </w:rPr>
      </w:pPr>
      <w:r>
        <w:rPr>
          <w:rFonts w:hint="eastAsia" w:ascii="宋体" w:hAnsi="宋体" w:eastAsia="宋体" w:cs="Times New Roman"/>
          <w:sz w:val="24"/>
          <w:lang w:val="zh-CN"/>
        </w:rPr>
        <w:t>2</w:t>
      </w:r>
      <w:r>
        <w:rPr>
          <w:rFonts w:hint="eastAsia" w:ascii="宋体" w:hAnsi="宋体" w:eastAsia="宋体" w:cs="Times New Roman"/>
          <w:sz w:val="24"/>
        </w:rPr>
        <w:t>.</w:t>
      </w:r>
      <w:r>
        <w:rPr>
          <w:rFonts w:hint="eastAsia" w:ascii="宋体" w:hAnsi="宋体" w:eastAsia="宋体" w:cs="Times New Roman"/>
          <w:sz w:val="24"/>
          <w:lang w:val="zh-CN"/>
        </w:rPr>
        <w:t>建立健全本单位与安全生产相适应的管理机构，配备好安全生产管理人员，组织好安全生产工作，全面落实全体在岗人员的安全生产责任。</w:t>
      </w:r>
    </w:p>
    <w:p w14:paraId="40B9387F">
      <w:pPr>
        <w:autoSpaceDE w:val="0"/>
        <w:autoSpaceDN w:val="0"/>
        <w:adjustRightInd w:val="0"/>
        <w:spacing w:line="360" w:lineRule="auto"/>
        <w:ind w:left="-359" w:leftChars="-171" w:right="-512" w:rightChars="-244" w:firstLine="468" w:firstLineChars="195"/>
        <w:jc w:val="left"/>
        <w:rPr>
          <w:rFonts w:ascii="宋体" w:hAnsi="宋体" w:eastAsia="宋体" w:cs="Times New Roman"/>
          <w:sz w:val="24"/>
          <w:lang w:val="zh-CN"/>
        </w:rPr>
      </w:pPr>
      <w:r>
        <w:rPr>
          <w:rFonts w:hint="eastAsia" w:ascii="宋体" w:hAnsi="宋体" w:eastAsia="宋体" w:cs="Times New Roman"/>
          <w:sz w:val="24"/>
          <w:lang w:val="zh-CN"/>
        </w:rPr>
        <w:t>3</w:t>
      </w:r>
      <w:r>
        <w:rPr>
          <w:rFonts w:hint="eastAsia" w:ascii="宋体" w:hAnsi="宋体" w:eastAsia="宋体" w:cs="Times New Roman"/>
          <w:sz w:val="24"/>
        </w:rPr>
        <w:t>.</w:t>
      </w:r>
      <w:r>
        <w:rPr>
          <w:rFonts w:hint="eastAsia" w:ascii="宋体" w:hAnsi="宋体" w:eastAsia="宋体" w:cs="Times New Roman"/>
          <w:sz w:val="24"/>
          <w:lang w:val="zh-CN"/>
        </w:rPr>
        <w:t>建立健全本单位以安全生产责任制为核心的安全生产规章制度，开展经常性的安全生产教育和检查活动，对检查出的问题和事故隐患，立即组织力量予以整改，并制定相应的防范措施。</w:t>
      </w:r>
    </w:p>
    <w:p w14:paraId="70427BF7">
      <w:pPr>
        <w:autoSpaceDE w:val="0"/>
        <w:autoSpaceDN w:val="0"/>
        <w:adjustRightInd w:val="0"/>
        <w:spacing w:line="360" w:lineRule="auto"/>
        <w:ind w:left="-359" w:leftChars="-171" w:right="-512" w:rightChars="-244" w:firstLine="468" w:firstLineChars="195"/>
        <w:jc w:val="left"/>
        <w:rPr>
          <w:rFonts w:ascii="宋体" w:hAnsi="宋体" w:eastAsia="宋体" w:cs="Times New Roman"/>
          <w:sz w:val="24"/>
          <w:lang w:val="zh-CN"/>
        </w:rPr>
      </w:pPr>
      <w:r>
        <w:rPr>
          <w:rFonts w:hint="eastAsia" w:ascii="宋体" w:hAnsi="宋体" w:eastAsia="宋体" w:cs="Times New Roman"/>
          <w:sz w:val="24"/>
          <w:lang w:val="zh-CN"/>
        </w:rPr>
        <w:t>4</w:t>
      </w:r>
      <w:r>
        <w:rPr>
          <w:rFonts w:hint="eastAsia" w:ascii="宋体" w:hAnsi="宋体" w:eastAsia="宋体" w:cs="Times New Roman"/>
          <w:sz w:val="24"/>
        </w:rPr>
        <w:t>.</w:t>
      </w:r>
      <w:r>
        <w:rPr>
          <w:rFonts w:hint="eastAsia" w:ascii="宋体" w:hAnsi="宋体" w:eastAsia="宋体" w:cs="Times New Roman"/>
          <w:sz w:val="24"/>
          <w:lang w:val="zh-CN"/>
        </w:rPr>
        <w:t>落实本单位的安全生产经费，在制定发展规划和技术改造方案时应同时制定安全生产的技术措施，不断改善生产劳动条件，防止伤亡事故发生。</w:t>
      </w:r>
    </w:p>
    <w:p w14:paraId="17AE7C08">
      <w:pPr>
        <w:autoSpaceDE w:val="0"/>
        <w:autoSpaceDN w:val="0"/>
        <w:adjustRightInd w:val="0"/>
        <w:spacing w:line="360" w:lineRule="auto"/>
        <w:ind w:left="-359" w:leftChars="-171" w:right="-512" w:rightChars="-244" w:firstLine="468" w:firstLineChars="195"/>
        <w:jc w:val="left"/>
        <w:rPr>
          <w:rFonts w:ascii="宋体" w:hAnsi="宋体" w:eastAsia="宋体" w:cs="Times New Roman"/>
          <w:sz w:val="24"/>
          <w:lang w:val="zh-CN"/>
        </w:rPr>
      </w:pPr>
      <w:r>
        <w:rPr>
          <w:rFonts w:hint="eastAsia" w:ascii="宋体" w:hAnsi="宋体" w:eastAsia="宋体" w:cs="Times New Roman"/>
          <w:sz w:val="24"/>
          <w:lang w:val="zh-CN"/>
        </w:rPr>
        <w:t>5</w:t>
      </w:r>
      <w:r>
        <w:rPr>
          <w:rFonts w:hint="eastAsia" w:ascii="宋体" w:hAnsi="宋体" w:eastAsia="宋体" w:cs="Times New Roman"/>
          <w:sz w:val="24"/>
        </w:rPr>
        <w:t>.</w:t>
      </w:r>
      <w:r>
        <w:rPr>
          <w:rFonts w:hint="eastAsia" w:ascii="宋体" w:hAnsi="宋体" w:eastAsia="宋体" w:cs="Times New Roman"/>
          <w:sz w:val="24"/>
          <w:lang w:val="zh-CN"/>
        </w:rPr>
        <w:t>本单位发生各类事故后要迅速组织抢救，积极做好事故善后工作，及时报告主管部门并主动配合有关部门开展事故调查工作，执行事故处理决定。</w:t>
      </w:r>
    </w:p>
    <w:p w14:paraId="241D1EFA">
      <w:pPr>
        <w:autoSpaceDE w:val="0"/>
        <w:autoSpaceDN w:val="0"/>
        <w:adjustRightInd w:val="0"/>
        <w:spacing w:line="360" w:lineRule="auto"/>
        <w:ind w:left="-359" w:leftChars="-171" w:right="-512" w:rightChars="-244" w:firstLine="468" w:firstLineChars="195"/>
        <w:jc w:val="left"/>
        <w:rPr>
          <w:rFonts w:ascii="宋体" w:hAnsi="宋体" w:eastAsia="宋体" w:cs="Times New Roman"/>
          <w:sz w:val="24"/>
          <w:lang w:val="zh-CN"/>
        </w:rPr>
      </w:pPr>
      <w:r>
        <w:rPr>
          <w:rFonts w:hint="eastAsia" w:ascii="宋体" w:hAnsi="宋体" w:eastAsia="宋体" w:cs="Times New Roman"/>
          <w:sz w:val="24"/>
          <w:lang w:val="zh-CN"/>
        </w:rPr>
        <w:t>6</w:t>
      </w:r>
      <w:r>
        <w:rPr>
          <w:rFonts w:hint="eastAsia" w:ascii="宋体" w:hAnsi="宋体" w:eastAsia="宋体" w:cs="Times New Roman"/>
          <w:sz w:val="24"/>
        </w:rPr>
        <w:t>.</w:t>
      </w:r>
      <w:r>
        <w:rPr>
          <w:rFonts w:hint="eastAsia" w:ascii="宋体" w:hAnsi="宋体" w:eastAsia="宋体" w:cs="Times New Roman"/>
          <w:sz w:val="24"/>
          <w:lang w:val="zh-CN"/>
        </w:rPr>
        <w:t>承包人法人代表为第一责任人，安全生产负责人为直接责任人，对本单位安全生产负全责任。</w:t>
      </w:r>
    </w:p>
    <w:p w14:paraId="7FDBC1DB">
      <w:pPr>
        <w:autoSpaceDE w:val="0"/>
        <w:autoSpaceDN w:val="0"/>
        <w:adjustRightInd w:val="0"/>
        <w:spacing w:line="360" w:lineRule="auto"/>
        <w:ind w:left="-359" w:leftChars="-171" w:right="-512" w:rightChars="-244" w:firstLine="468" w:firstLineChars="195"/>
        <w:jc w:val="left"/>
        <w:rPr>
          <w:rFonts w:ascii="宋体" w:hAnsi="宋体" w:eastAsia="宋体" w:cs="Times New Roman"/>
          <w:sz w:val="24"/>
          <w:lang w:val="zh-CN"/>
        </w:rPr>
      </w:pPr>
      <w:r>
        <w:rPr>
          <w:rFonts w:hint="eastAsia" w:ascii="宋体" w:hAnsi="宋体" w:eastAsia="宋体" w:cs="Times New Roman"/>
          <w:sz w:val="24"/>
          <w:lang w:val="zh-CN"/>
        </w:rPr>
        <w:t>7</w:t>
      </w:r>
      <w:r>
        <w:rPr>
          <w:rFonts w:hint="eastAsia" w:ascii="宋体" w:hAnsi="宋体" w:eastAsia="宋体" w:cs="Times New Roman"/>
          <w:sz w:val="24"/>
        </w:rPr>
        <w:t>.</w:t>
      </w:r>
      <w:r>
        <w:rPr>
          <w:rFonts w:hint="eastAsia" w:ascii="宋体" w:hAnsi="宋体" w:eastAsia="宋体" w:cs="Times New Roman"/>
          <w:sz w:val="24"/>
          <w:lang w:val="zh-CN"/>
        </w:rPr>
        <w:t>在施工过程中，一切安全责任由承包人负责（如因发包人原因造成的，由发包人负责），发包人不承担任何责任。</w:t>
      </w:r>
    </w:p>
    <w:p w14:paraId="67C3DB68">
      <w:pPr>
        <w:autoSpaceDE w:val="0"/>
        <w:autoSpaceDN w:val="0"/>
        <w:adjustRightInd w:val="0"/>
        <w:spacing w:line="360" w:lineRule="auto"/>
        <w:ind w:left="-359" w:leftChars="-171" w:right="-512" w:rightChars="-244" w:firstLine="200"/>
        <w:jc w:val="left"/>
        <w:rPr>
          <w:rFonts w:ascii="宋体" w:hAnsi="宋体" w:eastAsia="宋体" w:cs="Times New Roman"/>
          <w:b/>
          <w:sz w:val="24"/>
          <w:lang w:val="zh-CN"/>
        </w:rPr>
      </w:pPr>
      <w:r>
        <w:rPr>
          <w:rFonts w:hint="eastAsia" w:ascii="宋体" w:hAnsi="宋体" w:eastAsia="宋体" w:cs="Times New Roman"/>
          <w:b/>
          <w:sz w:val="24"/>
          <w:lang w:val="zh-CN"/>
        </w:rPr>
        <w:t>二、承包人目标控制：</w:t>
      </w:r>
    </w:p>
    <w:p w14:paraId="214BA9DC">
      <w:pPr>
        <w:autoSpaceDE w:val="0"/>
        <w:autoSpaceDN w:val="0"/>
        <w:adjustRightInd w:val="0"/>
        <w:spacing w:line="360" w:lineRule="auto"/>
        <w:ind w:left="-359" w:leftChars="-171" w:right="-512" w:rightChars="-244" w:firstLine="200"/>
        <w:jc w:val="left"/>
        <w:rPr>
          <w:rFonts w:ascii="宋体" w:hAnsi="宋体" w:eastAsia="宋体" w:cs="Times New Roman"/>
          <w:sz w:val="24"/>
          <w:lang w:val="zh-CN"/>
        </w:rPr>
      </w:pPr>
      <w:r>
        <w:rPr>
          <w:rFonts w:hint="eastAsia" w:ascii="宋体" w:hAnsi="宋体" w:eastAsia="宋体" w:cs="Times New Roman"/>
          <w:sz w:val="24"/>
          <w:lang w:val="zh-CN"/>
        </w:rPr>
        <w:t xml:space="preserve"> 1</w:t>
      </w:r>
      <w:r>
        <w:rPr>
          <w:rFonts w:hint="eastAsia" w:ascii="宋体" w:hAnsi="宋体" w:eastAsia="宋体" w:cs="Times New Roman"/>
          <w:sz w:val="24"/>
        </w:rPr>
        <w:t>.</w:t>
      </w:r>
      <w:r>
        <w:rPr>
          <w:rFonts w:hint="eastAsia" w:ascii="宋体" w:hAnsi="宋体" w:eastAsia="宋体" w:cs="Times New Roman"/>
          <w:sz w:val="24"/>
          <w:lang w:val="zh-CN"/>
        </w:rPr>
        <w:t>无一伤亡事故发生；</w:t>
      </w:r>
    </w:p>
    <w:p w14:paraId="329811A7">
      <w:pPr>
        <w:autoSpaceDE w:val="0"/>
        <w:autoSpaceDN w:val="0"/>
        <w:adjustRightInd w:val="0"/>
        <w:spacing w:line="360" w:lineRule="auto"/>
        <w:ind w:left="-357" w:leftChars="-170" w:right="-512" w:rightChars="-244" w:firstLine="360" w:firstLineChars="150"/>
        <w:jc w:val="left"/>
        <w:rPr>
          <w:rFonts w:ascii="宋体" w:hAnsi="宋体" w:eastAsia="宋体" w:cs="Times New Roman"/>
          <w:sz w:val="24"/>
          <w:lang w:val="zh-CN"/>
        </w:rPr>
      </w:pPr>
      <w:r>
        <w:rPr>
          <w:rFonts w:hint="eastAsia" w:ascii="宋体" w:hAnsi="宋体" w:eastAsia="宋体" w:cs="Times New Roman"/>
          <w:sz w:val="24"/>
          <w:lang w:val="zh-CN"/>
        </w:rPr>
        <w:t>2</w:t>
      </w:r>
      <w:r>
        <w:rPr>
          <w:rFonts w:hint="eastAsia" w:ascii="宋体" w:hAnsi="宋体" w:eastAsia="宋体" w:cs="Times New Roman"/>
          <w:sz w:val="24"/>
        </w:rPr>
        <w:t>.</w:t>
      </w:r>
      <w:r>
        <w:rPr>
          <w:rFonts w:hint="eastAsia" w:ascii="宋体" w:hAnsi="宋体" w:eastAsia="宋体" w:cs="Times New Roman"/>
          <w:sz w:val="24"/>
          <w:lang w:val="zh-CN"/>
        </w:rPr>
        <w:t>无一重大伤亡事故发生；</w:t>
      </w:r>
    </w:p>
    <w:p w14:paraId="270330D6">
      <w:pPr>
        <w:autoSpaceDE w:val="0"/>
        <w:autoSpaceDN w:val="0"/>
        <w:adjustRightInd w:val="0"/>
        <w:spacing w:line="360" w:lineRule="auto"/>
        <w:ind w:left="-357" w:leftChars="-170" w:right="-512" w:rightChars="-244" w:firstLine="360" w:firstLineChars="150"/>
        <w:jc w:val="left"/>
        <w:rPr>
          <w:rFonts w:ascii="宋体" w:hAnsi="宋体" w:eastAsia="宋体" w:cs="Times New Roman"/>
          <w:sz w:val="24"/>
          <w:lang w:val="zh-CN"/>
        </w:rPr>
      </w:pPr>
      <w:r>
        <w:rPr>
          <w:rFonts w:hint="eastAsia" w:ascii="宋体" w:hAnsi="宋体" w:eastAsia="宋体" w:cs="Times New Roman"/>
          <w:sz w:val="24"/>
          <w:lang w:val="zh-CN"/>
        </w:rPr>
        <w:t>3</w:t>
      </w:r>
      <w:r>
        <w:rPr>
          <w:rFonts w:hint="eastAsia" w:ascii="宋体" w:hAnsi="宋体" w:eastAsia="宋体" w:cs="Times New Roman"/>
          <w:sz w:val="24"/>
        </w:rPr>
        <w:t>.</w:t>
      </w:r>
      <w:r>
        <w:rPr>
          <w:rFonts w:hint="eastAsia" w:ascii="宋体" w:hAnsi="宋体" w:eastAsia="宋体" w:cs="Times New Roman"/>
          <w:sz w:val="24"/>
          <w:lang w:val="zh-CN"/>
        </w:rPr>
        <w:t>无一重大火灾事故发生；</w:t>
      </w:r>
    </w:p>
    <w:p w14:paraId="08960572">
      <w:pPr>
        <w:autoSpaceDE w:val="0"/>
        <w:autoSpaceDN w:val="0"/>
        <w:adjustRightInd w:val="0"/>
        <w:spacing w:line="360" w:lineRule="auto"/>
        <w:ind w:left="-357" w:leftChars="-170" w:right="-512" w:rightChars="-244" w:firstLine="360" w:firstLineChars="150"/>
        <w:jc w:val="left"/>
        <w:rPr>
          <w:rFonts w:ascii="宋体" w:hAnsi="宋体" w:eastAsia="宋体" w:cs="Times New Roman"/>
          <w:sz w:val="24"/>
          <w:lang w:val="zh-CN"/>
        </w:rPr>
      </w:pPr>
      <w:r>
        <w:rPr>
          <w:rFonts w:hint="eastAsia" w:ascii="宋体" w:hAnsi="宋体" w:eastAsia="宋体" w:cs="Times New Roman"/>
          <w:sz w:val="24"/>
          <w:lang w:val="zh-CN"/>
        </w:rPr>
        <w:t>4</w:t>
      </w:r>
      <w:r>
        <w:rPr>
          <w:rFonts w:hint="eastAsia" w:ascii="宋体" w:hAnsi="宋体" w:eastAsia="宋体" w:cs="Times New Roman"/>
          <w:sz w:val="24"/>
        </w:rPr>
        <w:t>.</w:t>
      </w:r>
      <w:r>
        <w:rPr>
          <w:rFonts w:hint="eastAsia" w:ascii="宋体" w:hAnsi="宋体" w:eastAsia="宋体" w:cs="Times New Roman"/>
          <w:sz w:val="24"/>
          <w:lang w:val="zh-CN"/>
        </w:rPr>
        <w:t>无一重大环境污染事故发生；</w:t>
      </w:r>
    </w:p>
    <w:p w14:paraId="6A008F64">
      <w:pPr>
        <w:autoSpaceDE w:val="0"/>
        <w:autoSpaceDN w:val="0"/>
        <w:adjustRightInd w:val="0"/>
        <w:spacing w:line="360" w:lineRule="auto"/>
        <w:ind w:left="-357" w:leftChars="-170" w:right="-512" w:rightChars="-244" w:firstLine="360" w:firstLineChars="150"/>
        <w:jc w:val="left"/>
        <w:rPr>
          <w:rFonts w:ascii="宋体" w:hAnsi="宋体" w:eastAsia="宋体" w:cs="Times New Roman"/>
          <w:sz w:val="24"/>
          <w:lang w:val="zh-CN"/>
        </w:rPr>
      </w:pPr>
      <w:r>
        <w:rPr>
          <w:rFonts w:hint="eastAsia" w:ascii="宋体" w:hAnsi="宋体" w:eastAsia="宋体" w:cs="Times New Roman"/>
          <w:sz w:val="24"/>
          <w:lang w:val="zh-CN"/>
        </w:rPr>
        <w:t>5</w:t>
      </w:r>
      <w:r>
        <w:rPr>
          <w:rFonts w:hint="eastAsia" w:ascii="宋体" w:hAnsi="宋体" w:eastAsia="宋体" w:cs="Times New Roman"/>
          <w:sz w:val="24"/>
        </w:rPr>
        <w:t>.</w:t>
      </w:r>
      <w:r>
        <w:rPr>
          <w:rFonts w:hint="eastAsia" w:ascii="宋体" w:hAnsi="宋体" w:eastAsia="宋体" w:cs="Times New Roman"/>
          <w:sz w:val="24"/>
          <w:lang w:val="zh-CN"/>
        </w:rPr>
        <w:t>一般性安全事故经济损失下降40%以上；</w:t>
      </w:r>
    </w:p>
    <w:p w14:paraId="331A58B8">
      <w:pPr>
        <w:autoSpaceDE w:val="0"/>
        <w:autoSpaceDN w:val="0"/>
        <w:adjustRightInd w:val="0"/>
        <w:spacing w:line="360" w:lineRule="auto"/>
        <w:ind w:left="-357" w:leftChars="-170" w:right="-512" w:rightChars="-244" w:firstLine="360" w:firstLineChars="150"/>
        <w:jc w:val="left"/>
        <w:rPr>
          <w:rFonts w:ascii="宋体" w:hAnsi="宋体" w:eastAsia="宋体" w:cs="Times New Roman"/>
          <w:sz w:val="24"/>
          <w:lang w:val="zh-CN"/>
        </w:rPr>
      </w:pPr>
      <w:r>
        <w:rPr>
          <w:rFonts w:hint="eastAsia" w:ascii="宋体" w:hAnsi="宋体" w:eastAsia="宋体" w:cs="Times New Roman"/>
          <w:sz w:val="24"/>
          <w:lang w:val="zh-CN"/>
        </w:rPr>
        <w:t>6</w:t>
      </w:r>
      <w:r>
        <w:rPr>
          <w:rFonts w:hint="eastAsia" w:ascii="宋体" w:hAnsi="宋体" w:eastAsia="宋体" w:cs="Times New Roman"/>
          <w:sz w:val="24"/>
        </w:rPr>
        <w:t>.</w:t>
      </w:r>
      <w:r>
        <w:rPr>
          <w:rFonts w:hint="eastAsia" w:ascii="宋体" w:hAnsi="宋体" w:eastAsia="宋体" w:cs="Times New Roman"/>
          <w:sz w:val="24"/>
          <w:lang w:val="zh-CN"/>
        </w:rPr>
        <w:t>一般性火灾事故控制在零以内；</w:t>
      </w:r>
    </w:p>
    <w:p w14:paraId="25EEAE60">
      <w:pPr>
        <w:autoSpaceDE w:val="0"/>
        <w:autoSpaceDN w:val="0"/>
        <w:adjustRightInd w:val="0"/>
        <w:spacing w:line="360" w:lineRule="auto"/>
        <w:ind w:left="-357" w:leftChars="-170" w:right="-512" w:rightChars="-244" w:firstLine="360" w:firstLineChars="150"/>
        <w:jc w:val="left"/>
        <w:rPr>
          <w:rFonts w:ascii="宋体" w:hAnsi="宋体" w:eastAsia="宋体" w:cs="Times New Roman"/>
          <w:sz w:val="24"/>
          <w:lang w:val="zh-CN"/>
        </w:rPr>
      </w:pPr>
      <w:r>
        <w:rPr>
          <w:rFonts w:hint="eastAsia" w:ascii="宋体" w:hAnsi="宋体" w:eastAsia="宋体" w:cs="Times New Roman"/>
          <w:sz w:val="24"/>
          <w:lang w:val="zh-CN"/>
        </w:rPr>
        <w:t>7</w:t>
      </w:r>
      <w:r>
        <w:rPr>
          <w:rFonts w:hint="eastAsia" w:ascii="宋体" w:hAnsi="宋体" w:eastAsia="宋体" w:cs="Times New Roman"/>
          <w:sz w:val="24"/>
        </w:rPr>
        <w:t>.</w:t>
      </w:r>
      <w:r>
        <w:rPr>
          <w:rFonts w:hint="eastAsia" w:ascii="宋体" w:hAnsi="宋体" w:eastAsia="宋体" w:cs="Times New Roman"/>
          <w:sz w:val="24"/>
          <w:lang w:val="zh-CN"/>
        </w:rPr>
        <w:t>一般性环境污染事故控制在零以内。</w:t>
      </w:r>
    </w:p>
    <w:p w14:paraId="2F0ED29A">
      <w:pPr>
        <w:autoSpaceDE w:val="0"/>
        <w:autoSpaceDN w:val="0"/>
        <w:adjustRightInd w:val="0"/>
        <w:spacing w:line="360" w:lineRule="auto"/>
        <w:ind w:left="-359" w:leftChars="-171" w:right="-512" w:rightChars="-244" w:firstLine="200"/>
        <w:jc w:val="left"/>
        <w:rPr>
          <w:rFonts w:ascii="宋体" w:hAnsi="宋体" w:eastAsia="宋体" w:cs="Times New Roman"/>
          <w:b/>
          <w:sz w:val="24"/>
          <w:lang w:val="zh-CN"/>
        </w:rPr>
      </w:pPr>
      <w:r>
        <w:rPr>
          <w:rFonts w:hint="eastAsia" w:ascii="宋体" w:hAnsi="宋体" w:eastAsia="宋体" w:cs="Times New Roman"/>
          <w:b/>
          <w:sz w:val="24"/>
          <w:lang w:val="zh-CN"/>
        </w:rPr>
        <w:t xml:space="preserve">三、考核：  </w:t>
      </w:r>
    </w:p>
    <w:p w14:paraId="59C99EF3">
      <w:pPr>
        <w:autoSpaceDE w:val="0"/>
        <w:autoSpaceDN w:val="0"/>
        <w:adjustRightInd w:val="0"/>
        <w:spacing w:line="360" w:lineRule="auto"/>
        <w:ind w:left="-359" w:leftChars="-171" w:right="-512" w:rightChars="-244" w:firstLine="468" w:firstLineChars="195"/>
        <w:jc w:val="left"/>
        <w:rPr>
          <w:rFonts w:ascii="宋体" w:hAnsi="宋体" w:eastAsia="宋体" w:cs="Times New Roman"/>
          <w:sz w:val="24"/>
          <w:lang w:val="zh-CN"/>
        </w:rPr>
      </w:pPr>
      <w:r>
        <w:rPr>
          <w:rFonts w:hint="eastAsia" w:ascii="宋体" w:hAnsi="宋体" w:eastAsia="宋体" w:cs="Times New Roman"/>
          <w:sz w:val="24"/>
          <w:lang w:val="zh-CN"/>
        </w:rPr>
        <w:t>1</w:t>
      </w:r>
      <w:r>
        <w:rPr>
          <w:rFonts w:hint="eastAsia" w:ascii="宋体" w:hAnsi="宋体" w:eastAsia="宋体" w:cs="Times New Roman"/>
          <w:sz w:val="24"/>
        </w:rPr>
        <w:t>.</w:t>
      </w:r>
      <w:r>
        <w:rPr>
          <w:rFonts w:hint="eastAsia" w:ascii="宋体" w:hAnsi="宋体" w:eastAsia="宋体" w:cs="Times New Roman"/>
          <w:sz w:val="24"/>
          <w:lang w:val="zh-CN"/>
        </w:rPr>
        <w:t>凡违反目标控制中1～4条中任意一条的单位，取消其考核资格，并追究第一责任人、直接责任人和有关人员的经济、刑事责任，给单位处以10000～50000元的罚款，对有关人员处以100～500元的罚款。</w:t>
      </w:r>
    </w:p>
    <w:p w14:paraId="70AD85BA">
      <w:pPr>
        <w:autoSpaceDE w:val="0"/>
        <w:autoSpaceDN w:val="0"/>
        <w:adjustRightInd w:val="0"/>
        <w:spacing w:line="360" w:lineRule="auto"/>
        <w:ind w:left="-359" w:leftChars="-171" w:right="-512" w:rightChars="-244" w:firstLine="468" w:firstLineChars="195"/>
        <w:jc w:val="left"/>
        <w:rPr>
          <w:rFonts w:ascii="宋体" w:hAnsi="宋体" w:eastAsia="宋体" w:cs="Times New Roman"/>
          <w:sz w:val="24"/>
          <w:lang w:val="zh-CN"/>
        </w:rPr>
      </w:pPr>
      <w:r>
        <w:rPr>
          <w:rFonts w:hint="eastAsia" w:ascii="宋体" w:hAnsi="宋体" w:eastAsia="宋体" w:cs="Times New Roman"/>
          <w:sz w:val="24"/>
          <w:lang w:val="zh-CN"/>
        </w:rPr>
        <w:t>2</w:t>
      </w:r>
      <w:r>
        <w:rPr>
          <w:rFonts w:hint="eastAsia" w:ascii="宋体" w:hAnsi="宋体" w:eastAsia="宋体" w:cs="Times New Roman"/>
          <w:sz w:val="24"/>
        </w:rPr>
        <w:t>.</w:t>
      </w:r>
      <w:r>
        <w:rPr>
          <w:rFonts w:hint="eastAsia" w:ascii="宋体" w:hAnsi="宋体" w:eastAsia="宋体" w:cs="Times New Roman"/>
          <w:sz w:val="24"/>
          <w:lang w:val="zh-CN"/>
        </w:rPr>
        <w:t>凡违反目标控制中5～7条中任意一条的单位，取消其考核资格，并在一定范围给予通报批评，令其整改。</w:t>
      </w:r>
    </w:p>
    <w:p w14:paraId="495C5535">
      <w:pPr>
        <w:rPr>
          <w:rFonts w:ascii="Calibri" w:hAnsi="宋体" w:eastAsia="宋体" w:cs="Times New Roman"/>
          <w:b/>
          <w:bCs/>
          <w:szCs w:val="21"/>
        </w:rPr>
      </w:pPr>
    </w:p>
    <w:p w14:paraId="2678CB24">
      <w:pPr>
        <w:ind w:left="6325" w:hanging="6325" w:hangingChars="3000"/>
        <w:rPr>
          <w:rFonts w:ascii="Calibri" w:hAnsi="宋体" w:eastAsia="宋体" w:cs="Times New Roman"/>
          <w:b/>
          <w:bCs/>
          <w:color w:val="FF0000"/>
          <w:szCs w:val="21"/>
        </w:rPr>
      </w:pPr>
    </w:p>
    <w:p w14:paraId="11F22110">
      <w:pPr>
        <w:ind w:left="6325" w:hanging="6325" w:hangingChars="3000"/>
        <w:rPr>
          <w:rFonts w:ascii="Calibri" w:hAnsi="宋体" w:eastAsia="宋体" w:cs="Times New Roman"/>
          <w:b/>
          <w:bCs/>
          <w:color w:val="FF0000"/>
          <w:szCs w:val="21"/>
        </w:rPr>
      </w:pPr>
      <w:r>
        <w:rPr>
          <w:rFonts w:hint="eastAsia" w:ascii="Calibri" w:hAnsi="宋体" w:eastAsia="宋体" w:cs="Times New Roman"/>
          <w:b/>
          <w:bCs/>
          <w:szCs w:val="21"/>
        </w:rPr>
        <w:t xml:space="preserve">项目业主：重庆九龙现代产业发展集团有限公司    </w:t>
      </w:r>
      <w:r>
        <w:rPr>
          <w:rFonts w:ascii="Calibri" w:hAnsi="宋体" w:eastAsia="宋体" w:cs="Times New Roman"/>
          <w:b/>
          <w:bCs/>
          <w:szCs w:val="21"/>
        </w:rPr>
        <w:t xml:space="preserve">       </w:t>
      </w:r>
      <w:r>
        <w:rPr>
          <w:rFonts w:hint="eastAsia" w:ascii="Calibri" w:hAnsi="宋体" w:eastAsia="宋体" w:cs="Times New Roman"/>
          <w:b/>
          <w:bCs/>
          <w:szCs w:val="21"/>
        </w:rPr>
        <w:t>承包人</w:t>
      </w:r>
      <w:r>
        <w:rPr>
          <w:rFonts w:ascii="Calibri" w:hAnsi="宋体" w:eastAsia="宋体" w:cs="Times New Roman"/>
          <w:b/>
          <w:bCs/>
          <w:szCs w:val="21"/>
        </w:rPr>
        <w:t>：</w:t>
      </w:r>
      <w:r>
        <w:rPr>
          <w:rFonts w:hint="eastAsia" w:ascii="Calibri" w:hAnsi="宋体" w:eastAsia="宋体" w:cs="Times New Roman"/>
          <w:b/>
          <w:bCs/>
          <w:szCs w:val="21"/>
        </w:rPr>
        <w:t>**</w:t>
      </w:r>
      <w:r>
        <w:rPr>
          <w:rFonts w:ascii="Calibri" w:hAnsi="宋体" w:eastAsia="宋体" w:cs="Times New Roman"/>
          <w:b/>
          <w:bCs/>
          <w:color w:val="FF0000"/>
          <w:szCs w:val="21"/>
        </w:rPr>
        <w:t xml:space="preserve"> </w:t>
      </w:r>
    </w:p>
    <w:p w14:paraId="0360FF0F">
      <w:pPr>
        <w:pStyle w:val="13"/>
        <w:ind w:firstLine="211"/>
        <w:rPr>
          <w:rFonts w:ascii="Calibri" w:eastAsia="宋体" w:cs="Times New Roman"/>
          <w:b/>
          <w:bCs/>
          <w:szCs w:val="21"/>
        </w:rPr>
      </w:pPr>
    </w:p>
    <w:p w14:paraId="4616EC52">
      <w:pPr>
        <w:widowControl/>
        <w:jc w:val="left"/>
        <w:rPr>
          <w:rFonts w:ascii="宋体" w:hAnsi="宋体" w:eastAsia="宋体" w:cs="宋体"/>
          <w:b/>
          <w:sz w:val="32"/>
          <w:szCs w:val="32"/>
        </w:rPr>
      </w:pPr>
      <w:r>
        <w:rPr>
          <w:rFonts w:ascii="宋体" w:hAnsi="宋体" w:eastAsia="宋体" w:cs="宋体"/>
          <w:b/>
          <w:sz w:val="32"/>
          <w:szCs w:val="32"/>
        </w:rPr>
        <w:br w:type="page"/>
      </w:r>
    </w:p>
    <w:p w14:paraId="7A662C30">
      <w:pPr>
        <w:autoSpaceDE w:val="0"/>
        <w:autoSpaceDN w:val="0"/>
        <w:adjustRightInd w:val="0"/>
        <w:spacing w:line="360" w:lineRule="auto"/>
        <w:ind w:left="-358" w:leftChars="-171" w:right="-512" w:rightChars="-244" w:hanging="1"/>
        <w:jc w:val="left"/>
        <w:rPr>
          <w:rFonts w:ascii="宋体" w:hAnsi="宋体" w:eastAsia="宋体" w:cs="宋体"/>
          <w:b/>
          <w:sz w:val="32"/>
          <w:szCs w:val="32"/>
        </w:rPr>
      </w:pPr>
      <w:r>
        <w:rPr>
          <w:rFonts w:hint="eastAsia" w:ascii="宋体" w:hAnsi="宋体" w:eastAsia="宋体" w:cs="宋体"/>
          <w:b/>
          <w:sz w:val="32"/>
          <w:szCs w:val="32"/>
          <w:lang w:val="zh-CN"/>
        </w:rPr>
        <w:t>附</w:t>
      </w:r>
      <w:r>
        <w:rPr>
          <w:rFonts w:ascii="宋体" w:hAnsi="宋体" w:eastAsia="宋体" w:cs="宋体"/>
          <w:b/>
          <w:sz w:val="32"/>
          <w:szCs w:val="32"/>
          <w:lang w:val="zh-CN"/>
        </w:rPr>
        <w:t>件</w:t>
      </w:r>
      <w:r>
        <w:rPr>
          <w:rFonts w:hint="eastAsia" w:ascii="宋体" w:hAnsi="宋体" w:eastAsia="宋体" w:cs="宋体"/>
          <w:b/>
          <w:sz w:val="32"/>
          <w:szCs w:val="32"/>
          <w:lang w:val="zh-CN"/>
        </w:rPr>
        <w:t>二</w:t>
      </w:r>
    </w:p>
    <w:p w14:paraId="2760A7FB">
      <w:pPr>
        <w:jc w:val="center"/>
        <w:rPr>
          <w:rFonts w:ascii="Calibri" w:hAnsi="Calibri" w:eastAsia="宋体" w:cs="Times New Roman"/>
          <w:b/>
          <w:bCs/>
          <w:sz w:val="44"/>
          <w:szCs w:val="44"/>
        </w:rPr>
      </w:pPr>
      <w:r>
        <w:rPr>
          <w:rFonts w:ascii="Calibri" w:hAnsi="宋体" w:eastAsia="宋体" w:cs="Times New Roman"/>
          <w:b/>
          <w:bCs/>
          <w:sz w:val="32"/>
          <w:szCs w:val="32"/>
        </w:rPr>
        <w:t>廉政合同</w:t>
      </w:r>
    </w:p>
    <w:p w14:paraId="68C5F0ED">
      <w:pPr>
        <w:spacing w:line="360" w:lineRule="auto"/>
        <w:ind w:firstLine="420" w:firstLineChars="200"/>
        <w:rPr>
          <w:rFonts w:ascii="Calibri" w:hAnsi="宋体" w:eastAsia="宋体" w:cs="Times New Roman"/>
          <w:szCs w:val="21"/>
        </w:rPr>
      </w:pPr>
      <w:r>
        <w:rPr>
          <w:rFonts w:hint="eastAsia" w:ascii="Calibri" w:hAnsi="宋体" w:eastAsia="宋体" w:cs="Times New Roman"/>
          <w:szCs w:val="21"/>
        </w:rPr>
        <w:t xml:space="preserve"> </w:t>
      </w:r>
    </w:p>
    <w:p w14:paraId="724EB68B">
      <w:pPr>
        <w:autoSpaceDE w:val="0"/>
        <w:autoSpaceDN w:val="0"/>
        <w:adjustRightInd w:val="0"/>
        <w:spacing w:line="360" w:lineRule="auto"/>
        <w:ind w:right="-512" w:rightChars="-244"/>
        <w:jc w:val="left"/>
        <w:rPr>
          <w:rFonts w:ascii="宋体" w:hAnsi="宋体" w:eastAsia="宋体" w:cs="Times New Roman"/>
          <w:sz w:val="24"/>
          <w:u w:val="single"/>
          <w:lang w:val="zh-CN"/>
        </w:rPr>
      </w:pPr>
      <w:r>
        <w:rPr>
          <w:rFonts w:hint="eastAsia" w:ascii="宋体" w:hAnsi="宋体" w:eastAsia="宋体" w:cs="Times New Roman"/>
          <w:sz w:val="24"/>
          <w:lang w:val="zh-CN"/>
        </w:rPr>
        <w:t>项目业主：</w:t>
      </w:r>
      <w:r>
        <w:rPr>
          <w:rFonts w:hint="eastAsia" w:ascii="宋体" w:hAnsi="宋体" w:eastAsia="宋体" w:cs="Times New Roman"/>
          <w:sz w:val="24"/>
          <w:u w:val="single"/>
        </w:rPr>
        <w:t>重庆九龙</w:t>
      </w:r>
      <w:r>
        <w:rPr>
          <w:rFonts w:ascii="宋体" w:hAnsi="宋体" w:eastAsia="宋体" w:cs="Times New Roman"/>
          <w:sz w:val="24"/>
          <w:u w:val="single"/>
        </w:rPr>
        <w:t>现代产业发展集团</w:t>
      </w:r>
      <w:r>
        <w:rPr>
          <w:rFonts w:hint="eastAsia" w:ascii="宋体" w:hAnsi="宋体" w:eastAsia="宋体" w:cs="Times New Roman"/>
          <w:sz w:val="24"/>
          <w:u w:val="single"/>
        </w:rPr>
        <w:t>有限公司</w:t>
      </w:r>
    </w:p>
    <w:p w14:paraId="2F2E49B0">
      <w:pPr>
        <w:autoSpaceDE w:val="0"/>
        <w:autoSpaceDN w:val="0"/>
        <w:adjustRightInd w:val="0"/>
        <w:spacing w:line="360" w:lineRule="auto"/>
        <w:ind w:right="-512" w:rightChars="-244"/>
        <w:jc w:val="left"/>
        <w:rPr>
          <w:rFonts w:ascii="宋体" w:hAnsi="宋体" w:eastAsia="宋体" w:cs="Times New Roman"/>
          <w:sz w:val="24"/>
          <w:lang w:val="zh-CN"/>
        </w:rPr>
      </w:pPr>
      <w:r>
        <w:rPr>
          <w:rFonts w:hint="eastAsia" w:ascii="宋体" w:hAnsi="宋体" w:eastAsia="宋体" w:cs="Times New Roman"/>
          <w:sz w:val="24"/>
          <w:lang w:val="zh-CN"/>
        </w:rPr>
        <w:t>承</w:t>
      </w:r>
      <w:r>
        <w:rPr>
          <w:rFonts w:hint="eastAsia" w:ascii="宋体" w:hAnsi="宋体" w:eastAsia="宋体" w:cs="Times New Roman"/>
          <w:sz w:val="24"/>
        </w:rPr>
        <w:t xml:space="preserve"> </w:t>
      </w:r>
      <w:r>
        <w:rPr>
          <w:rFonts w:hint="eastAsia" w:ascii="宋体" w:hAnsi="宋体" w:eastAsia="宋体" w:cs="Times New Roman"/>
          <w:sz w:val="24"/>
          <w:lang w:val="zh-CN"/>
        </w:rPr>
        <w:t>包</w:t>
      </w:r>
      <w:r>
        <w:rPr>
          <w:rFonts w:hint="eastAsia" w:ascii="宋体" w:hAnsi="宋体" w:eastAsia="宋体" w:cs="Times New Roman"/>
          <w:sz w:val="24"/>
        </w:rPr>
        <w:t xml:space="preserve"> </w:t>
      </w:r>
      <w:r>
        <w:rPr>
          <w:rFonts w:hint="eastAsia" w:ascii="宋体" w:hAnsi="宋体" w:eastAsia="宋体" w:cs="Times New Roman"/>
          <w:sz w:val="24"/>
          <w:lang w:val="zh-CN"/>
        </w:rPr>
        <w:t>人：</w:t>
      </w:r>
      <w:r>
        <w:rPr>
          <w:rFonts w:hint="eastAsia" w:ascii="宋体" w:hAnsi="宋体" w:eastAsia="宋体" w:cs="Times New Roman"/>
          <w:sz w:val="24"/>
          <w:u w:val="single"/>
          <w:lang w:val="zh-CN"/>
        </w:rPr>
        <w:t xml:space="preserve">*************************  </w:t>
      </w:r>
      <w:r>
        <w:rPr>
          <w:rFonts w:hint="eastAsia" w:ascii="宋体" w:hAnsi="宋体" w:eastAsia="宋体" w:cs="Times New Roman"/>
          <w:sz w:val="24"/>
          <w:lang w:val="zh-CN"/>
        </w:rPr>
        <w:t xml:space="preserve">  </w:t>
      </w:r>
    </w:p>
    <w:p w14:paraId="026C1056">
      <w:pPr>
        <w:autoSpaceDE w:val="0"/>
        <w:autoSpaceDN w:val="0"/>
        <w:adjustRightInd w:val="0"/>
        <w:spacing w:line="360" w:lineRule="auto"/>
        <w:ind w:right="-512" w:rightChars="-244"/>
        <w:jc w:val="left"/>
        <w:rPr>
          <w:rFonts w:ascii="Calibri" w:hAnsi="Calibri" w:eastAsia="宋体" w:cs="Times New Roman"/>
          <w:szCs w:val="21"/>
          <w:u w:val="single"/>
        </w:rPr>
      </w:pPr>
    </w:p>
    <w:p w14:paraId="3D73529B">
      <w:pPr>
        <w:ind w:firstLine="420" w:firstLineChars="200"/>
        <w:rPr>
          <w:rFonts w:ascii="Calibri" w:hAnsi="宋体" w:eastAsia="宋体" w:cs="Times New Roman"/>
          <w:szCs w:val="21"/>
          <w:u w:val="single"/>
        </w:rPr>
      </w:pPr>
      <w:r>
        <w:rPr>
          <w:rFonts w:ascii="Calibri" w:hAnsi="宋体" w:eastAsia="宋体" w:cs="Times New Roman"/>
          <w:szCs w:val="21"/>
        </w:rPr>
        <w:t>根据有关工程建设、廉政建设的规定，为作好工程建设的党风廉政建设，保证工程建设高效优质，保证建设资金的安全和有效使用以及投资效益，</w:t>
      </w:r>
      <w:r>
        <w:rPr>
          <w:rFonts w:hint="eastAsia" w:ascii="Calibri" w:hAnsi="宋体" w:eastAsia="宋体" w:cs="Times New Roman"/>
          <w:szCs w:val="21"/>
          <w:u w:val="single"/>
        </w:rPr>
        <w:t xml:space="preserve"> 西部（重庆）科学城九龙坡片区农村路网建设项目（一期）——银康路绿化工程  </w:t>
      </w:r>
      <w:r>
        <w:rPr>
          <w:rFonts w:ascii="Calibri" w:hAnsi="宋体" w:eastAsia="宋体" w:cs="Times New Roman"/>
          <w:szCs w:val="21"/>
        </w:rPr>
        <w:t>的</w:t>
      </w:r>
      <w:r>
        <w:rPr>
          <w:rFonts w:hint="eastAsia" w:ascii="Calibri" w:hAnsi="宋体" w:eastAsia="宋体" w:cs="Times New Roman"/>
          <w:szCs w:val="21"/>
        </w:rPr>
        <w:t>承发包</w:t>
      </w:r>
      <w:r>
        <w:rPr>
          <w:rFonts w:ascii="Calibri" w:hAnsi="宋体" w:eastAsia="宋体" w:cs="Times New Roman"/>
          <w:szCs w:val="21"/>
        </w:rPr>
        <w:t>双方特订立本合同。</w:t>
      </w:r>
    </w:p>
    <w:p w14:paraId="37D50143">
      <w:pPr>
        <w:spacing w:line="460" w:lineRule="atLeast"/>
        <w:ind w:left="-569" w:leftChars="-271" w:firstLine="840" w:firstLineChars="400"/>
        <w:rPr>
          <w:rFonts w:ascii="Calibri" w:hAnsi="Calibri" w:eastAsia="宋体" w:cs="Times New Roman"/>
          <w:szCs w:val="21"/>
        </w:rPr>
      </w:pPr>
      <w:r>
        <w:rPr>
          <w:rFonts w:ascii="Calibri" w:hAnsi="宋体" w:eastAsia="宋体" w:cs="Times New Roman"/>
          <w:szCs w:val="21"/>
        </w:rPr>
        <w:t>第一条</w:t>
      </w:r>
      <w:r>
        <w:rPr>
          <w:rFonts w:ascii="Calibri" w:hAnsi="Calibri" w:eastAsia="宋体" w:cs="Times New Roman"/>
          <w:szCs w:val="21"/>
        </w:rPr>
        <w:t xml:space="preserve">  </w:t>
      </w:r>
      <w:r>
        <w:rPr>
          <w:rFonts w:ascii="Calibri" w:hAnsi="宋体" w:eastAsia="宋体" w:cs="Times New Roman"/>
          <w:szCs w:val="21"/>
        </w:rPr>
        <w:t>双方的权利和义务</w:t>
      </w:r>
    </w:p>
    <w:p w14:paraId="21F5652F">
      <w:pPr>
        <w:spacing w:line="460" w:lineRule="atLeast"/>
        <w:ind w:firstLine="420" w:firstLineChars="200"/>
        <w:rPr>
          <w:rFonts w:ascii="Calibri" w:hAnsi="Calibri" w:eastAsia="宋体" w:cs="Times New Roman"/>
          <w:szCs w:val="21"/>
        </w:rPr>
      </w:pPr>
      <w:r>
        <w:rPr>
          <w:rFonts w:ascii="Calibri" w:hAnsi="Calibri" w:eastAsia="宋体" w:cs="Times New Roman"/>
          <w:szCs w:val="21"/>
        </w:rPr>
        <w:t>1.1</w:t>
      </w:r>
      <w:r>
        <w:rPr>
          <w:rFonts w:ascii="Calibri" w:hAnsi="宋体" w:eastAsia="宋体" w:cs="Times New Roman"/>
          <w:szCs w:val="21"/>
        </w:rPr>
        <w:t>严格遵守党的政策规定和国家有关法律法规及建设部的有关规定。</w:t>
      </w:r>
    </w:p>
    <w:p w14:paraId="079C0D4C">
      <w:pPr>
        <w:spacing w:line="460" w:lineRule="atLeast"/>
        <w:ind w:firstLine="420" w:firstLineChars="200"/>
        <w:rPr>
          <w:rFonts w:ascii="Calibri" w:hAnsi="Calibri" w:eastAsia="宋体" w:cs="Times New Roman"/>
          <w:szCs w:val="21"/>
        </w:rPr>
      </w:pPr>
      <w:r>
        <w:rPr>
          <w:rFonts w:ascii="Calibri" w:hAnsi="Calibri" w:eastAsia="宋体" w:cs="Times New Roman"/>
          <w:szCs w:val="21"/>
        </w:rPr>
        <w:t>1.2</w:t>
      </w:r>
      <w:r>
        <w:rPr>
          <w:rFonts w:ascii="Calibri" w:hAnsi="宋体" w:eastAsia="宋体" w:cs="Times New Roman"/>
          <w:szCs w:val="21"/>
        </w:rPr>
        <w:t>严格执行施工合同文件，自觉按合同办事。</w:t>
      </w:r>
    </w:p>
    <w:p w14:paraId="0D857323">
      <w:pPr>
        <w:spacing w:line="460" w:lineRule="atLeast"/>
        <w:ind w:firstLine="420" w:firstLineChars="200"/>
        <w:rPr>
          <w:rFonts w:ascii="Calibri" w:hAnsi="Calibri" w:eastAsia="宋体" w:cs="Times New Roman"/>
          <w:szCs w:val="21"/>
        </w:rPr>
      </w:pPr>
      <w:r>
        <w:rPr>
          <w:rFonts w:ascii="Calibri" w:hAnsi="Calibri" w:eastAsia="宋体" w:cs="Times New Roman"/>
          <w:szCs w:val="21"/>
        </w:rPr>
        <w:t>1.3</w:t>
      </w:r>
      <w:r>
        <w:rPr>
          <w:rFonts w:ascii="Calibri" w:hAnsi="宋体" w:eastAsia="宋体" w:cs="Times New Roman"/>
          <w:szCs w:val="21"/>
        </w:rPr>
        <w:t>双方的业务活动坚持公开、公正、诚信、透明的原则（法律认定的商业秘密和合同文件规定除外），不得损害国家和集体利益，不得违反工程建设管理规章制度。</w:t>
      </w:r>
    </w:p>
    <w:p w14:paraId="11383BDB">
      <w:pPr>
        <w:spacing w:line="460" w:lineRule="atLeast"/>
        <w:ind w:firstLine="420" w:firstLineChars="200"/>
        <w:rPr>
          <w:rFonts w:ascii="Calibri" w:hAnsi="Calibri" w:eastAsia="宋体" w:cs="Times New Roman"/>
          <w:szCs w:val="21"/>
        </w:rPr>
      </w:pPr>
      <w:r>
        <w:rPr>
          <w:rFonts w:ascii="Calibri" w:hAnsi="Calibri" w:eastAsia="宋体" w:cs="Times New Roman"/>
          <w:szCs w:val="21"/>
        </w:rPr>
        <w:t>1.4</w:t>
      </w:r>
      <w:r>
        <w:rPr>
          <w:rFonts w:ascii="Calibri" w:hAnsi="宋体" w:eastAsia="宋体" w:cs="Times New Roman"/>
          <w:szCs w:val="21"/>
        </w:rPr>
        <w:t>建立健全廉政制度，开展廉政教育，建立廉政告示牌，公布举报电话，监督并认真查处违法违纪行为。</w:t>
      </w:r>
    </w:p>
    <w:p w14:paraId="01F61ABA">
      <w:pPr>
        <w:spacing w:line="460" w:lineRule="atLeast"/>
        <w:ind w:firstLine="420" w:firstLineChars="200"/>
        <w:rPr>
          <w:rFonts w:ascii="Calibri" w:hAnsi="Calibri" w:eastAsia="宋体" w:cs="Times New Roman"/>
          <w:szCs w:val="21"/>
        </w:rPr>
      </w:pPr>
      <w:r>
        <w:rPr>
          <w:rFonts w:ascii="Calibri" w:hAnsi="Calibri" w:eastAsia="宋体" w:cs="Times New Roman"/>
          <w:szCs w:val="21"/>
        </w:rPr>
        <w:t>1.5</w:t>
      </w:r>
      <w:r>
        <w:rPr>
          <w:rFonts w:ascii="Calibri" w:hAnsi="宋体" w:eastAsia="宋体" w:cs="Times New Roman"/>
          <w:szCs w:val="21"/>
        </w:rPr>
        <w:t>发现对方在业务活动中有违反廉政规定的行为，有及时提醒对方纠正的权利和义务。</w:t>
      </w:r>
    </w:p>
    <w:p w14:paraId="4ADB5CE5">
      <w:pPr>
        <w:spacing w:line="460" w:lineRule="atLeast"/>
        <w:ind w:firstLine="420" w:firstLineChars="200"/>
        <w:rPr>
          <w:rFonts w:ascii="Calibri" w:hAnsi="Calibri" w:eastAsia="宋体" w:cs="Times New Roman"/>
          <w:szCs w:val="21"/>
        </w:rPr>
      </w:pPr>
      <w:r>
        <w:rPr>
          <w:rFonts w:ascii="Calibri" w:hAnsi="宋体" w:eastAsia="宋体" w:cs="Times New Roman"/>
          <w:szCs w:val="21"/>
        </w:rPr>
        <w:t>发现对方严重违反本合同条款的行为，有向上级有关部门举报、建议给予处理并要求告知处理结果的权利。</w:t>
      </w:r>
    </w:p>
    <w:p w14:paraId="1F41314E">
      <w:pPr>
        <w:spacing w:line="460" w:lineRule="atLeast"/>
        <w:ind w:left="-569" w:leftChars="-271" w:firstLine="945" w:firstLineChars="450"/>
        <w:rPr>
          <w:rFonts w:ascii="Calibri" w:hAnsi="Calibri" w:eastAsia="宋体" w:cs="Times New Roman"/>
          <w:szCs w:val="21"/>
        </w:rPr>
      </w:pPr>
      <w:r>
        <w:rPr>
          <w:rFonts w:ascii="Calibri" w:hAnsi="宋体" w:eastAsia="宋体" w:cs="Times New Roman"/>
          <w:szCs w:val="21"/>
        </w:rPr>
        <w:t>第二条</w:t>
      </w:r>
      <w:r>
        <w:rPr>
          <w:rFonts w:ascii="Calibri" w:hAnsi="Calibri" w:eastAsia="宋体" w:cs="Times New Roman"/>
          <w:szCs w:val="21"/>
        </w:rPr>
        <w:t xml:space="preserve">  </w:t>
      </w:r>
      <w:r>
        <w:rPr>
          <w:rFonts w:hint="eastAsia" w:ascii="Calibri" w:hAnsi="宋体" w:eastAsia="宋体" w:cs="Times New Roman"/>
          <w:szCs w:val="21"/>
        </w:rPr>
        <w:t>发包人</w:t>
      </w:r>
      <w:r>
        <w:rPr>
          <w:rFonts w:ascii="Calibri" w:hAnsi="宋体" w:eastAsia="宋体" w:cs="Times New Roman"/>
          <w:szCs w:val="21"/>
        </w:rPr>
        <w:t>的义务</w:t>
      </w:r>
    </w:p>
    <w:p w14:paraId="24BE0B74">
      <w:pPr>
        <w:spacing w:line="460" w:lineRule="atLeast"/>
        <w:ind w:firstLine="420" w:firstLineChars="200"/>
        <w:rPr>
          <w:rFonts w:ascii="Calibri" w:hAnsi="Calibri" w:eastAsia="宋体" w:cs="Times New Roman"/>
          <w:szCs w:val="21"/>
        </w:rPr>
      </w:pPr>
      <w:r>
        <w:rPr>
          <w:rFonts w:ascii="Calibri" w:hAnsi="Calibri" w:eastAsia="宋体" w:cs="Times New Roman"/>
          <w:szCs w:val="21"/>
        </w:rPr>
        <w:t>2.1</w:t>
      </w:r>
      <w:r>
        <w:rPr>
          <w:rFonts w:hint="eastAsia" w:ascii="Calibri" w:hAnsi="宋体" w:eastAsia="宋体" w:cs="Times New Roman"/>
          <w:szCs w:val="21"/>
        </w:rPr>
        <w:t>发包人</w:t>
      </w:r>
      <w:r>
        <w:rPr>
          <w:rFonts w:ascii="Calibri" w:hAnsi="宋体" w:eastAsia="宋体" w:cs="Times New Roman"/>
          <w:szCs w:val="21"/>
        </w:rPr>
        <w:t>及其工作人员不得索要或接受承包人的礼金、有价证券和贵重物品，不得在承包人报销任何应由发包人或发包人工作人员个人支付的费用等。</w:t>
      </w:r>
    </w:p>
    <w:p w14:paraId="005DD8D5">
      <w:pPr>
        <w:spacing w:line="460" w:lineRule="atLeast"/>
        <w:ind w:firstLine="420" w:firstLineChars="200"/>
        <w:rPr>
          <w:rFonts w:ascii="Calibri" w:hAnsi="Calibri" w:eastAsia="宋体" w:cs="Times New Roman"/>
          <w:szCs w:val="21"/>
        </w:rPr>
      </w:pPr>
      <w:r>
        <w:rPr>
          <w:rFonts w:ascii="Calibri" w:hAnsi="Calibri" w:eastAsia="宋体" w:cs="Times New Roman"/>
          <w:szCs w:val="21"/>
        </w:rPr>
        <w:t>2.2</w:t>
      </w:r>
      <w:r>
        <w:rPr>
          <w:rFonts w:hint="eastAsia" w:ascii="Calibri" w:hAnsi="宋体" w:eastAsia="宋体" w:cs="Times New Roman"/>
          <w:szCs w:val="21"/>
        </w:rPr>
        <w:t>发包人</w:t>
      </w:r>
      <w:r>
        <w:rPr>
          <w:rFonts w:ascii="Calibri" w:hAnsi="宋体" w:eastAsia="宋体" w:cs="Times New Roman"/>
          <w:szCs w:val="21"/>
        </w:rPr>
        <w:t>工作人员不得参加承包人安排的超标准宴请和娱乐活动；不得接受承包人提供的通讯工具、交通工具和高档办公用品等。</w:t>
      </w:r>
    </w:p>
    <w:p w14:paraId="22381FEE">
      <w:pPr>
        <w:spacing w:line="460" w:lineRule="atLeast"/>
        <w:ind w:firstLine="420" w:firstLineChars="200"/>
        <w:rPr>
          <w:rFonts w:ascii="Calibri" w:hAnsi="Calibri" w:eastAsia="宋体" w:cs="Times New Roman"/>
          <w:szCs w:val="21"/>
        </w:rPr>
      </w:pPr>
      <w:r>
        <w:rPr>
          <w:rFonts w:ascii="Calibri" w:hAnsi="Calibri" w:eastAsia="宋体" w:cs="Times New Roman"/>
          <w:szCs w:val="21"/>
        </w:rPr>
        <w:t>2.3</w:t>
      </w:r>
      <w:r>
        <w:rPr>
          <w:rFonts w:hint="eastAsia" w:ascii="Calibri" w:hAnsi="宋体" w:eastAsia="宋体" w:cs="Times New Roman"/>
          <w:szCs w:val="21"/>
        </w:rPr>
        <w:t>发包人</w:t>
      </w:r>
      <w:r>
        <w:rPr>
          <w:rFonts w:ascii="Calibri" w:hAnsi="宋体" w:eastAsia="宋体" w:cs="Times New Roman"/>
          <w:szCs w:val="21"/>
        </w:rPr>
        <w:t>及其工作人员不得要求或接受承包人为其住房装修、婚丧嫁娶活动配偶子女的工作安排以及出国出境、旅游等提供方便等。</w:t>
      </w:r>
    </w:p>
    <w:p w14:paraId="5C1ED424">
      <w:pPr>
        <w:spacing w:line="460" w:lineRule="atLeast"/>
        <w:ind w:firstLine="420" w:firstLineChars="200"/>
        <w:rPr>
          <w:rFonts w:ascii="Calibri" w:hAnsi="Calibri" w:eastAsia="宋体" w:cs="Times New Roman"/>
          <w:szCs w:val="21"/>
        </w:rPr>
      </w:pPr>
      <w:r>
        <w:rPr>
          <w:rFonts w:ascii="Calibri" w:hAnsi="Calibri" w:eastAsia="宋体" w:cs="Times New Roman"/>
          <w:szCs w:val="21"/>
        </w:rPr>
        <w:t>2.4</w:t>
      </w:r>
      <w:r>
        <w:rPr>
          <w:rFonts w:hint="eastAsia" w:ascii="Calibri" w:hAnsi="宋体" w:eastAsia="宋体" w:cs="Times New Roman"/>
          <w:szCs w:val="21"/>
        </w:rPr>
        <w:t>发包人</w:t>
      </w:r>
      <w:r>
        <w:rPr>
          <w:rFonts w:ascii="Calibri" w:hAnsi="宋体" w:eastAsia="宋体" w:cs="Times New Roman"/>
          <w:szCs w:val="21"/>
        </w:rPr>
        <w:t>工作人员及其配偶、子女不得从事与承包人工程有关的材料设备供应、工程分包、劳务等经济活动。</w:t>
      </w:r>
    </w:p>
    <w:p w14:paraId="1678D53C">
      <w:pPr>
        <w:spacing w:line="460" w:lineRule="atLeast"/>
        <w:ind w:left="-569" w:leftChars="-271" w:firstLine="840" w:firstLineChars="400"/>
        <w:rPr>
          <w:rFonts w:ascii="Calibri" w:hAnsi="Calibri" w:eastAsia="宋体" w:cs="Times New Roman"/>
          <w:szCs w:val="21"/>
        </w:rPr>
      </w:pPr>
      <w:r>
        <w:rPr>
          <w:rFonts w:ascii="Calibri" w:hAnsi="宋体" w:eastAsia="宋体" w:cs="Times New Roman"/>
          <w:szCs w:val="21"/>
        </w:rPr>
        <w:t>第三条</w:t>
      </w:r>
      <w:r>
        <w:rPr>
          <w:rFonts w:ascii="Calibri" w:hAnsi="Calibri" w:eastAsia="宋体" w:cs="Times New Roman"/>
          <w:szCs w:val="21"/>
        </w:rPr>
        <w:t xml:space="preserve">  </w:t>
      </w:r>
      <w:r>
        <w:rPr>
          <w:rFonts w:ascii="Calibri" w:hAnsi="宋体" w:eastAsia="宋体" w:cs="Times New Roman"/>
          <w:szCs w:val="21"/>
        </w:rPr>
        <w:t>承包人义务</w:t>
      </w:r>
    </w:p>
    <w:p w14:paraId="7EDD0D54">
      <w:pPr>
        <w:spacing w:line="460" w:lineRule="atLeast"/>
        <w:ind w:firstLine="420" w:firstLineChars="200"/>
        <w:rPr>
          <w:rFonts w:ascii="Calibri" w:hAnsi="Calibri" w:eastAsia="宋体" w:cs="Times New Roman"/>
          <w:szCs w:val="21"/>
        </w:rPr>
      </w:pPr>
      <w:r>
        <w:rPr>
          <w:rFonts w:ascii="Calibri" w:hAnsi="Calibri" w:eastAsia="宋体" w:cs="Times New Roman"/>
          <w:szCs w:val="21"/>
        </w:rPr>
        <w:t>3.1</w:t>
      </w:r>
      <w:r>
        <w:rPr>
          <w:rFonts w:ascii="Calibri" w:hAnsi="宋体" w:eastAsia="宋体" w:cs="Times New Roman"/>
          <w:szCs w:val="21"/>
        </w:rPr>
        <w:t>承包人不得以任何理由向</w:t>
      </w:r>
      <w:r>
        <w:rPr>
          <w:rFonts w:hint="eastAsia" w:ascii="Calibri" w:hAnsi="宋体" w:eastAsia="宋体" w:cs="Times New Roman"/>
          <w:szCs w:val="21"/>
        </w:rPr>
        <w:t>发包人</w:t>
      </w:r>
      <w:r>
        <w:rPr>
          <w:rFonts w:ascii="Calibri" w:hAnsi="宋体" w:eastAsia="宋体" w:cs="Times New Roman"/>
          <w:szCs w:val="21"/>
        </w:rPr>
        <w:t>及其工作人员行贿或馈赠礼金、有价证券、贵重礼品等。</w:t>
      </w:r>
    </w:p>
    <w:p w14:paraId="72C72A5D">
      <w:pPr>
        <w:spacing w:line="460" w:lineRule="atLeast"/>
        <w:ind w:firstLine="420" w:firstLineChars="200"/>
        <w:rPr>
          <w:rFonts w:ascii="Calibri" w:hAnsi="Calibri" w:eastAsia="宋体" w:cs="Times New Roman"/>
          <w:szCs w:val="21"/>
        </w:rPr>
      </w:pPr>
      <w:r>
        <w:rPr>
          <w:rFonts w:ascii="Calibri" w:hAnsi="Calibri" w:eastAsia="宋体" w:cs="Times New Roman"/>
          <w:szCs w:val="21"/>
        </w:rPr>
        <w:t>3.2</w:t>
      </w:r>
      <w:r>
        <w:rPr>
          <w:rFonts w:ascii="Calibri" w:hAnsi="宋体" w:eastAsia="宋体" w:cs="Times New Roman"/>
          <w:szCs w:val="21"/>
        </w:rPr>
        <w:t>承包人不得以任何名义为</w:t>
      </w:r>
      <w:r>
        <w:rPr>
          <w:rFonts w:hint="eastAsia" w:ascii="Calibri" w:hAnsi="宋体" w:eastAsia="宋体" w:cs="Times New Roman"/>
          <w:szCs w:val="21"/>
        </w:rPr>
        <w:t>发包人</w:t>
      </w:r>
      <w:r>
        <w:rPr>
          <w:rFonts w:ascii="Calibri" w:hAnsi="宋体" w:eastAsia="宋体" w:cs="Times New Roman"/>
          <w:szCs w:val="21"/>
        </w:rPr>
        <w:t>及其工作人员报销应由发包人单位或个人支付的任何费用。</w:t>
      </w:r>
    </w:p>
    <w:p w14:paraId="43E09756">
      <w:pPr>
        <w:spacing w:line="460" w:lineRule="atLeast"/>
        <w:ind w:firstLine="420" w:firstLineChars="200"/>
        <w:rPr>
          <w:rFonts w:ascii="Calibri" w:hAnsi="Calibri" w:eastAsia="宋体" w:cs="Times New Roman"/>
          <w:szCs w:val="21"/>
        </w:rPr>
      </w:pPr>
      <w:r>
        <w:rPr>
          <w:rFonts w:ascii="Calibri" w:hAnsi="Calibri" w:eastAsia="宋体" w:cs="Times New Roman"/>
          <w:szCs w:val="21"/>
        </w:rPr>
        <w:t>3.3</w:t>
      </w:r>
      <w:r>
        <w:rPr>
          <w:rFonts w:ascii="Calibri" w:hAnsi="宋体" w:eastAsia="宋体" w:cs="Times New Roman"/>
          <w:szCs w:val="21"/>
        </w:rPr>
        <w:t>承包人不得以任何理由安排</w:t>
      </w:r>
      <w:r>
        <w:rPr>
          <w:rFonts w:hint="eastAsia" w:ascii="Calibri" w:hAnsi="宋体" w:eastAsia="宋体" w:cs="Times New Roman"/>
          <w:szCs w:val="21"/>
        </w:rPr>
        <w:t>发包人</w:t>
      </w:r>
      <w:r>
        <w:rPr>
          <w:rFonts w:ascii="Calibri" w:hAnsi="宋体" w:eastAsia="宋体" w:cs="Times New Roman"/>
          <w:szCs w:val="21"/>
        </w:rPr>
        <w:t>工作人员参加外出旅游或超标准宴请及娱乐活动。</w:t>
      </w:r>
    </w:p>
    <w:p w14:paraId="549F874A">
      <w:pPr>
        <w:spacing w:line="460" w:lineRule="atLeast"/>
        <w:ind w:firstLine="420" w:firstLineChars="200"/>
        <w:rPr>
          <w:rFonts w:ascii="Calibri" w:hAnsi="Calibri" w:eastAsia="宋体" w:cs="Times New Roman"/>
          <w:szCs w:val="21"/>
        </w:rPr>
      </w:pPr>
      <w:r>
        <w:rPr>
          <w:rFonts w:ascii="Calibri" w:hAnsi="Calibri" w:eastAsia="宋体" w:cs="Times New Roman"/>
          <w:szCs w:val="21"/>
        </w:rPr>
        <w:t>3.4</w:t>
      </w:r>
      <w:r>
        <w:rPr>
          <w:rFonts w:ascii="Calibri" w:hAnsi="宋体" w:eastAsia="宋体" w:cs="Times New Roman"/>
          <w:szCs w:val="21"/>
        </w:rPr>
        <w:t>承包人不得为</w:t>
      </w:r>
      <w:r>
        <w:rPr>
          <w:rFonts w:hint="eastAsia" w:ascii="Calibri" w:hAnsi="宋体" w:eastAsia="宋体" w:cs="Times New Roman"/>
          <w:szCs w:val="21"/>
        </w:rPr>
        <w:t>发包人</w:t>
      </w:r>
      <w:r>
        <w:rPr>
          <w:rFonts w:ascii="Calibri" w:hAnsi="宋体" w:eastAsia="宋体" w:cs="Times New Roman"/>
          <w:szCs w:val="21"/>
        </w:rPr>
        <w:t>和个人购置或提供通讯工具、交通工具和高档办公用品等。</w:t>
      </w:r>
    </w:p>
    <w:p w14:paraId="20806D3D">
      <w:pPr>
        <w:spacing w:line="460" w:lineRule="atLeast"/>
        <w:ind w:firstLine="420" w:firstLineChars="200"/>
        <w:rPr>
          <w:rFonts w:ascii="Calibri" w:hAnsi="Calibri" w:eastAsia="宋体" w:cs="Times New Roman"/>
          <w:szCs w:val="21"/>
        </w:rPr>
      </w:pPr>
      <w:r>
        <w:rPr>
          <w:rFonts w:ascii="Calibri" w:hAnsi="Calibri" w:eastAsia="宋体" w:cs="Times New Roman"/>
          <w:szCs w:val="21"/>
        </w:rPr>
        <w:t>3.5</w:t>
      </w:r>
      <w:r>
        <w:rPr>
          <w:rFonts w:ascii="Calibri" w:hAnsi="宋体" w:eastAsia="宋体" w:cs="Times New Roman"/>
          <w:szCs w:val="21"/>
        </w:rPr>
        <w:t>承包人及其工作人员必须严格按照规程办事，不得与</w:t>
      </w:r>
      <w:r>
        <w:rPr>
          <w:rFonts w:hint="eastAsia" w:ascii="Calibri" w:hAnsi="宋体" w:eastAsia="宋体" w:cs="Times New Roman"/>
          <w:szCs w:val="21"/>
        </w:rPr>
        <w:t>其他</w:t>
      </w:r>
      <w:r>
        <w:rPr>
          <w:rFonts w:ascii="Calibri" w:hAnsi="宋体" w:eastAsia="宋体" w:cs="Times New Roman"/>
          <w:szCs w:val="21"/>
        </w:rPr>
        <w:t>单位串通损害发包人利益。</w:t>
      </w:r>
    </w:p>
    <w:p w14:paraId="4E715BB5">
      <w:pPr>
        <w:spacing w:line="460" w:lineRule="atLeast"/>
        <w:ind w:firstLine="420" w:firstLineChars="200"/>
        <w:rPr>
          <w:rFonts w:ascii="Calibri" w:hAnsi="Calibri" w:eastAsia="宋体" w:cs="Times New Roman"/>
          <w:szCs w:val="21"/>
        </w:rPr>
      </w:pPr>
      <w:r>
        <w:rPr>
          <w:rFonts w:ascii="Calibri" w:hAnsi="Calibri" w:eastAsia="宋体" w:cs="Times New Roman"/>
          <w:szCs w:val="21"/>
        </w:rPr>
        <w:t>3.6</w:t>
      </w:r>
      <w:r>
        <w:rPr>
          <w:rFonts w:ascii="Calibri" w:hAnsi="宋体" w:eastAsia="宋体" w:cs="Times New Roman"/>
          <w:szCs w:val="21"/>
        </w:rPr>
        <w:t>承包人如果发现</w:t>
      </w:r>
      <w:r>
        <w:rPr>
          <w:rFonts w:hint="eastAsia" w:ascii="Calibri" w:hAnsi="宋体" w:eastAsia="宋体" w:cs="Times New Roman"/>
          <w:szCs w:val="21"/>
        </w:rPr>
        <w:t>发包人</w:t>
      </w:r>
      <w:r>
        <w:rPr>
          <w:rFonts w:ascii="Calibri" w:hAnsi="宋体" w:eastAsia="宋体" w:cs="Times New Roman"/>
          <w:szCs w:val="21"/>
        </w:rPr>
        <w:t>工作人员有违反廉政规定的行为，应向发包人组织或上级单位举报。发包人不得以任何借口对承包人进行报复。发包人对举报属实或严格遵守廉政合同的承包人，在同等条件下给予承接后续工程的优先邀请</w:t>
      </w:r>
      <w:r>
        <w:rPr>
          <w:rFonts w:hint="eastAsia" w:ascii="Calibri" w:hAnsi="宋体" w:eastAsia="宋体" w:cs="Times New Roman"/>
          <w:szCs w:val="21"/>
        </w:rPr>
        <w:t>参加</w:t>
      </w:r>
      <w:r>
        <w:rPr>
          <w:rFonts w:ascii="Calibri" w:hAnsi="宋体" w:eastAsia="宋体" w:cs="Times New Roman"/>
          <w:szCs w:val="21"/>
        </w:rPr>
        <w:t>权。</w:t>
      </w:r>
    </w:p>
    <w:p w14:paraId="4087264E">
      <w:pPr>
        <w:spacing w:line="460" w:lineRule="atLeast"/>
        <w:ind w:left="-569" w:leftChars="-271" w:firstLine="945" w:firstLineChars="450"/>
        <w:rPr>
          <w:rFonts w:ascii="Calibri" w:hAnsi="Calibri" w:eastAsia="宋体" w:cs="Times New Roman"/>
          <w:szCs w:val="21"/>
        </w:rPr>
      </w:pPr>
      <w:r>
        <w:rPr>
          <w:rFonts w:ascii="Calibri" w:hAnsi="宋体" w:eastAsia="宋体" w:cs="Times New Roman"/>
          <w:szCs w:val="21"/>
        </w:rPr>
        <w:t>第四条</w:t>
      </w:r>
      <w:r>
        <w:rPr>
          <w:rFonts w:ascii="Calibri" w:hAnsi="Calibri" w:eastAsia="宋体" w:cs="Times New Roman"/>
          <w:szCs w:val="21"/>
        </w:rPr>
        <w:t xml:space="preserve">  </w:t>
      </w:r>
      <w:r>
        <w:rPr>
          <w:rFonts w:ascii="Calibri" w:hAnsi="宋体" w:eastAsia="宋体" w:cs="Times New Roman"/>
          <w:szCs w:val="21"/>
        </w:rPr>
        <w:t>违约责任</w:t>
      </w:r>
    </w:p>
    <w:p w14:paraId="193490D5">
      <w:pPr>
        <w:spacing w:line="460" w:lineRule="atLeast"/>
        <w:ind w:firstLine="420" w:firstLineChars="200"/>
        <w:rPr>
          <w:rFonts w:ascii="Calibri" w:hAnsi="Calibri" w:eastAsia="宋体" w:cs="Times New Roman"/>
          <w:szCs w:val="21"/>
        </w:rPr>
      </w:pPr>
      <w:r>
        <w:rPr>
          <w:rFonts w:ascii="Calibri" w:hAnsi="Calibri" w:eastAsia="宋体" w:cs="Times New Roman"/>
          <w:szCs w:val="21"/>
        </w:rPr>
        <w:t>4.1</w:t>
      </w:r>
      <w:r>
        <w:rPr>
          <w:rFonts w:ascii="Calibri" w:hAnsi="宋体" w:eastAsia="宋体" w:cs="Times New Roman"/>
          <w:szCs w:val="21"/>
        </w:rPr>
        <w:t>发包人及其工作人员违反本合同第一、第二条，按管理权限，依据有关规定给予党纪、政纪或组织处理；涉嫌犯罪的，移交司法机关追究刑事主任；给承包人单位造成损失的，应予以赔偿。</w:t>
      </w:r>
    </w:p>
    <w:p w14:paraId="2F897FBB">
      <w:pPr>
        <w:spacing w:line="460" w:lineRule="atLeast"/>
        <w:ind w:firstLine="420" w:firstLineChars="200"/>
        <w:rPr>
          <w:rFonts w:ascii="Calibri" w:hAnsi="Calibri" w:eastAsia="宋体" w:cs="Times New Roman"/>
          <w:szCs w:val="21"/>
        </w:rPr>
      </w:pPr>
      <w:r>
        <w:rPr>
          <w:rFonts w:ascii="Calibri" w:hAnsi="Calibri" w:eastAsia="宋体" w:cs="Times New Roman"/>
          <w:szCs w:val="21"/>
        </w:rPr>
        <w:t>4.2</w:t>
      </w:r>
      <w:r>
        <w:rPr>
          <w:rFonts w:ascii="Calibri" w:hAnsi="宋体" w:eastAsia="宋体" w:cs="Times New Roman"/>
          <w:szCs w:val="21"/>
        </w:rPr>
        <w:t>承包人及其工作人员违反本合同的第三条，按管理权限，依据有关规定给予党纪、政纪或组织处理，给发包人单位造成损失的，应予以赔偿；情节严重的，发包人有权建议工程建设主管部门给予承包人一年至三年内不得进入其主管的工程建设市场的处罚。</w:t>
      </w:r>
    </w:p>
    <w:p w14:paraId="6D2FAE37">
      <w:pPr>
        <w:spacing w:line="460" w:lineRule="atLeast"/>
        <w:ind w:firstLine="420" w:firstLineChars="200"/>
        <w:rPr>
          <w:rFonts w:ascii="Calibri" w:hAnsi="Calibri" w:eastAsia="宋体" w:cs="Times New Roman"/>
          <w:szCs w:val="21"/>
        </w:rPr>
      </w:pPr>
      <w:r>
        <w:rPr>
          <w:rFonts w:ascii="Calibri" w:hAnsi="宋体" w:eastAsia="宋体" w:cs="Times New Roman"/>
          <w:szCs w:val="21"/>
        </w:rPr>
        <w:t>第五条</w:t>
      </w:r>
      <w:r>
        <w:rPr>
          <w:rFonts w:ascii="Calibri" w:hAnsi="Calibri" w:eastAsia="宋体" w:cs="Times New Roman"/>
          <w:szCs w:val="21"/>
        </w:rPr>
        <w:t xml:space="preserve">  </w:t>
      </w:r>
      <w:r>
        <w:rPr>
          <w:rFonts w:ascii="Calibri" w:hAnsi="宋体" w:eastAsia="宋体" w:cs="Times New Roman"/>
          <w:szCs w:val="21"/>
        </w:rPr>
        <w:t>双方约定，本合同由双方或双上级单位的纪检监察机关负责监督执行。根据重庆市人民检察院、重庆市交通委员会《关于开展在交通基础设施建设中预防职务犯罪工作的意见》的有关规定，邀请当地检察机关作为对本合同执行的法律监督单位，参与对本合同履行情况的监督检察。</w:t>
      </w:r>
    </w:p>
    <w:p w14:paraId="6A984A60">
      <w:pPr>
        <w:spacing w:line="460" w:lineRule="atLeast"/>
        <w:ind w:firstLine="420" w:firstLineChars="200"/>
        <w:rPr>
          <w:rFonts w:ascii="Calibri" w:hAnsi="Calibri" w:eastAsia="宋体" w:cs="Times New Roman"/>
          <w:szCs w:val="21"/>
        </w:rPr>
      </w:pPr>
      <w:r>
        <w:rPr>
          <w:rFonts w:ascii="Calibri" w:hAnsi="宋体" w:eastAsia="宋体" w:cs="Times New Roman"/>
          <w:szCs w:val="21"/>
        </w:rPr>
        <w:t>第六条</w:t>
      </w:r>
      <w:r>
        <w:rPr>
          <w:rFonts w:ascii="Calibri" w:hAnsi="Calibri" w:eastAsia="宋体" w:cs="Times New Roman"/>
          <w:szCs w:val="21"/>
        </w:rPr>
        <w:t xml:space="preserve">  </w:t>
      </w:r>
      <w:r>
        <w:rPr>
          <w:rFonts w:ascii="Calibri" w:hAnsi="宋体" w:eastAsia="宋体" w:cs="Times New Roman"/>
          <w:szCs w:val="21"/>
        </w:rPr>
        <w:t>本合同从双方签署之日起生效，至该工程项目竣工验收后失效。</w:t>
      </w:r>
    </w:p>
    <w:p w14:paraId="3BBEC2D1">
      <w:pPr>
        <w:spacing w:line="460" w:lineRule="atLeast"/>
        <w:ind w:firstLine="420" w:firstLineChars="200"/>
        <w:rPr>
          <w:rFonts w:ascii="Calibri" w:hAnsi="宋体" w:eastAsia="宋体" w:cs="Times New Roman"/>
          <w:szCs w:val="21"/>
        </w:rPr>
      </w:pPr>
      <w:r>
        <w:rPr>
          <w:rFonts w:ascii="Calibri" w:hAnsi="宋体" w:eastAsia="宋体" w:cs="Times New Roman"/>
          <w:szCs w:val="21"/>
        </w:rPr>
        <w:t>第七条</w:t>
      </w:r>
      <w:r>
        <w:rPr>
          <w:rFonts w:ascii="Calibri" w:hAnsi="Calibri" w:eastAsia="宋体" w:cs="Times New Roman"/>
          <w:szCs w:val="21"/>
        </w:rPr>
        <w:t xml:space="preserve">  </w:t>
      </w:r>
      <w:r>
        <w:rPr>
          <w:rFonts w:ascii="Calibri" w:hAnsi="宋体" w:eastAsia="宋体" w:cs="Times New Roman"/>
          <w:szCs w:val="21"/>
        </w:rPr>
        <w:t>本</w:t>
      </w:r>
      <w:r>
        <w:rPr>
          <w:rFonts w:hint="eastAsia" w:ascii="Calibri" w:hAnsi="宋体" w:eastAsia="宋体" w:cs="Times New Roman"/>
          <w:szCs w:val="21"/>
        </w:rPr>
        <w:t>协议</w:t>
      </w:r>
      <w:r>
        <w:rPr>
          <w:rFonts w:ascii="Calibri" w:hAnsi="宋体" w:eastAsia="宋体" w:cs="Times New Roman"/>
          <w:szCs w:val="21"/>
        </w:rPr>
        <w:t>作为</w:t>
      </w:r>
      <w:r>
        <w:rPr>
          <w:rFonts w:hint="eastAsia" w:ascii="宋体" w:hAnsi="宋体" w:eastAsia="宋体" w:cs="Times New Roman"/>
          <w:kern w:val="0"/>
          <w:szCs w:val="21"/>
          <w:u w:val="single"/>
        </w:rPr>
        <w:t xml:space="preserve">   施工  </w:t>
      </w:r>
      <w:r>
        <w:rPr>
          <w:rFonts w:ascii="Calibri" w:hAnsi="宋体" w:eastAsia="宋体" w:cs="Times New Roman"/>
          <w:szCs w:val="21"/>
        </w:rPr>
        <w:t>合同附件，与工程合同具有同等的法律效力。</w:t>
      </w:r>
    </w:p>
    <w:p w14:paraId="01CB3271">
      <w:pPr>
        <w:spacing w:line="360" w:lineRule="auto"/>
        <w:rPr>
          <w:rFonts w:ascii="Calibri" w:hAnsi="宋体" w:eastAsia="宋体" w:cs="Times New Roman"/>
          <w:szCs w:val="21"/>
        </w:rPr>
      </w:pPr>
    </w:p>
    <w:p w14:paraId="057D3153">
      <w:pPr>
        <w:rPr>
          <w:rFonts w:ascii="Calibri" w:hAnsi="Calibri" w:eastAsia="宋体" w:cs="Times New Roman"/>
        </w:rPr>
      </w:pPr>
    </w:p>
    <w:p w14:paraId="698D9D68">
      <w:pPr>
        <w:widowControl/>
        <w:jc w:val="left"/>
        <w:rPr>
          <w:rFonts w:ascii="Calibri" w:hAnsi="宋体" w:eastAsia="宋体" w:cs="Times New Roman"/>
          <w:b/>
          <w:spacing w:val="-2"/>
          <w:sz w:val="24"/>
        </w:rPr>
      </w:pPr>
    </w:p>
    <w:p w14:paraId="7D0EAC57">
      <w:pPr>
        <w:widowControl/>
        <w:jc w:val="left"/>
        <w:rPr>
          <w:rFonts w:ascii="Calibri" w:hAnsi="宋体" w:eastAsia="宋体" w:cs="Times New Roman"/>
          <w:b/>
          <w:color w:val="FF0000"/>
          <w:spacing w:val="-2"/>
          <w:sz w:val="24"/>
        </w:rPr>
      </w:pPr>
    </w:p>
    <w:p w14:paraId="397D90E1">
      <w:pPr>
        <w:ind w:left="6114" w:hanging="6114" w:hangingChars="2900"/>
        <w:rPr>
          <w:rFonts w:ascii="Calibri" w:hAnsi="宋体" w:eastAsia="宋体" w:cs="Times New Roman"/>
          <w:b/>
          <w:bCs/>
          <w:szCs w:val="21"/>
        </w:rPr>
      </w:pPr>
      <w:bookmarkStart w:id="40" w:name="OLE_LINK8"/>
      <w:bookmarkStart w:id="41" w:name="OLE_LINK7"/>
      <w:r>
        <w:rPr>
          <w:rFonts w:hint="eastAsia" w:ascii="Calibri" w:hAnsi="宋体" w:eastAsia="宋体" w:cs="Times New Roman"/>
          <w:b/>
          <w:bCs/>
          <w:szCs w:val="21"/>
        </w:rPr>
        <w:t>项目业主：重庆九龙</w:t>
      </w:r>
      <w:r>
        <w:rPr>
          <w:rFonts w:ascii="Calibri" w:hAnsi="宋体" w:eastAsia="宋体" w:cs="Times New Roman"/>
          <w:b/>
          <w:bCs/>
          <w:szCs w:val="21"/>
        </w:rPr>
        <w:t>现代产业发展集团</w:t>
      </w:r>
      <w:r>
        <w:rPr>
          <w:rFonts w:hint="eastAsia" w:ascii="Calibri" w:hAnsi="宋体" w:eastAsia="宋体" w:cs="Times New Roman"/>
          <w:b/>
          <w:bCs/>
          <w:szCs w:val="21"/>
        </w:rPr>
        <w:t>有限公司   承包</w:t>
      </w:r>
      <w:r>
        <w:rPr>
          <w:rFonts w:ascii="Calibri" w:hAnsi="宋体" w:eastAsia="宋体" w:cs="Times New Roman"/>
          <w:b/>
          <w:bCs/>
          <w:szCs w:val="21"/>
        </w:rPr>
        <w:t xml:space="preserve">人： </w:t>
      </w:r>
    </w:p>
    <w:p w14:paraId="23A650AB">
      <w:pPr>
        <w:spacing w:after="120"/>
        <w:ind w:firstLine="211" w:firstLineChars="100"/>
        <w:rPr>
          <w:rFonts w:ascii="Calibri" w:hAnsi="宋体" w:eastAsia="宋体" w:cs="Times New Roman"/>
          <w:b/>
          <w:bCs/>
          <w:color w:val="FF0000"/>
          <w:szCs w:val="21"/>
        </w:rPr>
      </w:pPr>
    </w:p>
    <w:bookmarkEnd w:id="40"/>
    <w:bookmarkEnd w:id="41"/>
    <w:p w14:paraId="15FADEB0">
      <w:pPr>
        <w:jc w:val="center"/>
      </w:pPr>
    </w:p>
    <w:p w14:paraId="025E0964">
      <w:pPr>
        <w:pStyle w:val="13"/>
        <w:ind w:firstLine="210"/>
      </w:pPr>
    </w:p>
    <w:p w14:paraId="1AD6E108">
      <w:pPr>
        <w:pStyle w:val="13"/>
        <w:ind w:firstLine="210"/>
      </w:pPr>
    </w:p>
    <w:p w14:paraId="07F0764F">
      <w:pPr>
        <w:pStyle w:val="13"/>
        <w:ind w:firstLine="210"/>
      </w:pPr>
    </w:p>
    <w:p w14:paraId="430B2156">
      <w:pPr>
        <w:pStyle w:val="13"/>
        <w:ind w:firstLine="210"/>
      </w:pPr>
    </w:p>
    <w:p w14:paraId="1B00899A">
      <w:pPr>
        <w:pStyle w:val="13"/>
        <w:ind w:firstLine="210"/>
      </w:pPr>
    </w:p>
    <w:p w14:paraId="476AD0D1">
      <w:pPr>
        <w:pStyle w:val="13"/>
        <w:ind w:firstLine="210"/>
      </w:pPr>
    </w:p>
    <w:p w14:paraId="72FC04F1">
      <w:pPr>
        <w:spacing w:line="360" w:lineRule="auto"/>
        <w:rPr>
          <w:rFonts w:hAnsi="宋体"/>
          <w:b/>
          <w:spacing w:val="-2"/>
          <w:sz w:val="24"/>
        </w:rPr>
      </w:pPr>
      <w:r>
        <w:rPr>
          <w:rFonts w:hint="eastAsia" w:hAnsi="宋体"/>
          <w:b/>
          <w:spacing w:val="-2"/>
          <w:sz w:val="24"/>
        </w:rPr>
        <w:t>附件三</w:t>
      </w:r>
    </w:p>
    <w:p w14:paraId="5879879C">
      <w:pPr>
        <w:spacing w:line="360" w:lineRule="auto"/>
        <w:jc w:val="center"/>
        <w:rPr>
          <w:rFonts w:hAnsi="宋体"/>
          <w:b/>
          <w:spacing w:val="-2"/>
          <w:szCs w:val="21"/>
        </w:rPr>
      </w:pPr>
      <w:r>
        <w:rPr>
          <w:rFonts w:hint="eastAsia" w:hAnsi="宋体"/>
          <w:b/>
          <w:spacing w:val="-2"/>
          <w:szCs w:val="21"/>
        </w:rPr>
        <w:t>九龙坡区市街绿化养护作业技术标准(试行稿)</w:t>
      </w:r>
    </w:p>
    <w:p w14:paraId="37680224">
      <w:pPr>
        <w:numPr>
          <w:ilvl w:val="0"/>
          <w:numId w:val="3"/>
        </w:numPr>
        <w:spacing w:line="360" w:lineRule="auto"/>
        <w:ind w:firstLine="412" w:firstLineChars="200"/>
        <w:rPr>
          <w:rFonts w:hAnsi="宋体"/>
          <w:spacing w:val="-2"/>
          <w:szCs w:val="21"/>
        </w:rPr>
      </w:pPr>
      <w:r>
        <w:rPr>
          <w:rFonts w:hint="eastAsia" w:hAnsi="宋体"/>
          <w:spacing w:val="-2"/>
          <w:szCs w:val="21"/>
        </w:rPr>
        <w:t>市街绿地养护总体技术标准</w:t>
      </w:r>
    </w:p>
    <w:p w14:paraId="29224CEB">
      <w:pPr>
        <w:spacing w:line="360" w:lineRule="auto"/>
        <w:ind w:firstLine="412" w:firstLineChars="200"/>
        <w:rPr>
          <w:rFonts w:hAnsi="宋体"/>
          <w:spacing w:val="-2"/>
          <w:szCs w:val="21"/>
        </w:rPr>
      </w:pPr>
      <w:r>
        <w:rPr>
          <w:rFonts w:hint="eastAsia" w:hAnsi="宋体"/>
          <w:spacing w:val="-2"/>
          <w:szCs w:val="21"/>
        </w:rPr>
        <w:t>1、 要求整个绿地保持整洁美观、特色鲜明;树木、花草长势旺盛，定期对植物实施了冲洗、修剪、松土、除草、施肥、防病虫、浇水等。</w:t>
      </w:r>
    </w:p>
    <w:p w14:paraId="61080A1F">
      <w:pPr>
        <w:spacing w:line="360" w:lineRule="auto"/>
        <w:ind w:firstLine="412" w:firstLineChars="200"/>
        <w:rPr>
          <w:rFonts w:hAnsi="宋体"/>
          <w:spacing w:val="-2"/>
          <w:szCs w:val="21"/>
        </w:rPr>
      </w:pPr>
      <w:r>
        <w:rPr>
          <w:rFonts w:hint="eastAsia" w:hAnsi="宋体"/>
          <w:spacing w:val="-2"/>
          <w:szCs w:val="21"/>
        </w:rPr>
        <w:t>2、 乔、灌木修剪及时，树冠完整美观，分支点合适，侧枝分布均称，枝条疏密得当，内膛不乱，通气透光，无明显的枯枝、死枝和严重的病虫，与电力、电讯线路能保持符合规定的空间距离。</w:t>
      </w:r>
    </w:p>
    <w:p w14:paraId="64C69C94">
      <w:pPr>
        <w:spacing w:line="360" w:lineRule="auto"/>
        <w:ind w:firstLine="412" w:firstLineChars="200"/>
        <w:rPr>
          <w:rFonts w:hAnsi="宋体"/>
          <w:spacing w:val="-2"/>
          <w:szCs w:val="21"/>
        </w:rPr>
      </w:pPr>
      <w:r>
        <w:rPr>
          <w:rFonts w:hint="eastAsia" w:hAnsi="宋体"/>
          <w:spacing w:val="-2"/>
          <w:szCs w:val="21"/>
        </w:rPr>
        <w:t>3、 行道树及绿地乔木树干挺直，倾斜度不超过10度，树干及树茎无孽芽滋生；行道树同一路段上的分枝点高度应基本一致，长势整齐，无缺株、死树。</w:t>
      </w:r>
    </w:p>
    <w:p w14:paraId="616D0CA7">
      <w:pPr>
        <w:spacing w:line="360" w:lineRule="auto"/>
        <w:ind w:firstLine="412" w:firstLineChars="200"/>
        <w:rPr>
          <w:rFonts w:hAnsi="宋体"/>
          <w:spacing w:val="-2"/>
          <w:szCs w:val="21"/>
        </w:rPr>
      </w:pPr>
      <w:r>
        <w:rPr>
          <w:rFonts w:hint="eastAsia" w:hAnsi="宋体"/>
          <w:spacing w:val="-2"/>
          <w:szCs w:val="21"/>
        </w:rPr>
        <w:t>4、 临街绿地、小游园、公园、花坛、花池整洁美观，植物长势健壮，无病虫危害、无枯枝、杂草、垃圾、纸屑及其他废弃物。</w:t>
      </w:r>
    </w:p>
    <w:p w14:paraId="08A4B776">
      <w:pPr>
        <w:spacing w:line="360" w:lineRule="auto"/>
        <w:ind w:firstLine="412" w:firstLineChars="200"/>
        <w:rPr>
          <w:rFonts w:hAnsi="宋体"/>
          <w:spacing w:val="-2"/>
          <w:szCs w:val="21"/>
        </w:rPr>
      </w:pPr>
      <w:r>
        <w:rPr>
          <w:rFonts w:hint="eastAsia" w:hAnsi="宋体"/>
          <w:spacing w:val="-2"/>
          <w:szCs w:val="21"/>
        </w:rPr>
        <w:t>5、 灌木（包括花灌木）定干高度适宜，树形自然丰满；花灌木着花率高，开花繁茂；藤本植物长藤分布合理，覆盖均匀。</w:t>
      </w:r>
    </w:p>
    <w:p w14:paraId="37EB04CE">
      <w:pPr>
        <w:spacing w:line="360" w:lineRule="auto"/>
        <w:ind w:firstLine="412" w:firstLineChars="200"/>
        <w:rPr>
          <w:rFonts w:hAnsi="宋体"/>
          <w:spacing w:val="-2"/>
          <w:szCs w:val="21"/>
        </w:rPr>
      </w:pPr>
      <w:r>
        <w:rPr>
          <w:rFonts w:hint="eastAsia" w:hAnsi="宋体"/>
          <w:spacing w:val="-2"/>
          <w:szCs w:val="21"/>
        </w:rPr>
        <w:t>6、 绿篱长势整齐、平整，形状轮廓清晰、高度适宜，无凸凹，无缺株、断带；整形植物轮廓鲜明，树冠表面平整、圆滑，不露缺空、不露枝干、不露捆扎物。</w:t>
      </w:r>
    </w:p>
    <w:p w14:paraId="1896A8BD">
      <w:pPr>
        <w:spacing w:line="360" w:lineRule="auto"/>
        <w:ind w:firstLine="412" w:firstLineChars="200"/>
        <w:rPr>
          <w:rFonts w:hAnsi="宋体"/>
          <w:spacing w:val="-2"/>
          <w:szCs w:val="21"/>
        </w:rPr>
      </w:pPr>
      <w:r>
        <w:rPr>
          <w:rFonts w:hint="eastAsia" w:hAnsi="宋体"/>
          <w:spacing w:val="-2"/>
          <w:szCs w:val="21"/>
        </w:rPr>
        <w:t>7、 草坪生长茂盛，颜色正常、定期修剪，保持高度5厘米左右；生长期绿草如茵，不枯黄，无秃露空缺，经抽查100平方米绿地绿化覆盖率达到90%以上。</w:t>
      </w:r>
    </w:p>
    <w:p w14:paraId="51B2B792">
      <w:pPr>
        <w:spacing w:line="360" w:lineRule="auto"/>
        <w:ind w:firstLine="412" w:firstLineChars="200"/>
        <w:rPr>
          <w:rFonts w:hAnsi="宋体"/>
          <w:spacing w:val="-2"/>
          <w:szCs w:val="21"/>
        </w:rPr>
      </w:pPr>
      <w:r>
        <w:rPr>
          <w:rFonts w:hint="eastAsia" w:hAnsi="宋体"/>
          <w:spacing w:val="-2"/>
          <w:szCs w:val="21"/>
        </w:rPr>
        <w:t>8、 及时中耕除草，保持绿地清洁;绿地（带）内土壤疏松、湿润，无高荒性杂草。</w:t>
      </w:r>
    </w:p>
    <w:p w14:paraId="7BE9D00F">
      <w:pPr>
        <w:spacing w:line="360" w:lineRule="auto"/>
        <w:ind w:firstLine="412" w:firstLineChars="200"/>
        <w:rPr>
          <w:rFonts w:hAnsi="宋体"/>
          <w:spacing w:val="-2"/>
          <w:szCs w:val="21"/>
        </w:rPr>
      </w:pPr>
      <w:r>
        <w:rPr>
          <w:rFonts w:hint="eastAsia" w:hAnsi="宋体"/>
          <w:spacing w:val="-2"/>
          <w:szCs w:val="21"/>
        </w:rPr>
        <w:t>9、 定期对行道树、绿地植物冲洗降尘，树木、花草无明显积存灰尘；采取有效措施，严禁因补植补栽、植物修剪、换花等造成扬尘污染；严禁乱倾倒垃圾和焚烧枯枝落叶。</w:t>
      </w:r>
    </w:p>
    <w:p w14:paraId="06116D06">
      <w:pPr>
        <w:spacing w:line="360" w:lineRule="auto"/>
        <w:ind w:firstLine="412" w:firstLineChars="200"/>
        <w:rPr>
          <w:rFonts w:hAnsi="宋体"/>
          <w:spacing w:val="-2"/>
          <w:szCs w:val="21"/>
        </w:rPr>
      </w:pPr>
      <w:r>
        <w:rPr>
          <w:rFonts w:hint="eastAsia" w:hAnsi="宋体"/>
          <w:spacing w:val="-2"/>
          <w:szCs w:val="21"/>
        </w:rPr>
        <w:t>10、乔木、花灌木花期过后要及时修剪，越冬前对树木要进行全面修剪，发现树木有枯枝要及时清除。</w:t>
      </w:r>
    </w:p>
    <w:p w14:paraId="6D1C57F2">
      <w:pPr>
        <w:spacing w:line="360" w:lineRule="auto"/>
        <w:ind w:firstLine="412" w:firstLineChars="200"/>
        <w:rPr>
          <w:rFonts w:hAnsi="宋体"/>
          <w:spacing w:val="-2"/>
          <w:szCs w:val="21"/>
        </w:rPr>
      </w:pPr>
      <w:r>
        <w:rPr>
          <w:rFonts w:hint="eastAsia" w:hAnsi="宋体"/>
          <w:spacing w:val="-2"/>
          <w:szCs w:val="21"/>
        </w:rPr>
        <w:t>11、绿地树木应根据天气情况进行浇灌，叶子出现干枯、脱水现象，要及时浇灌或对树叶进行喷淋。夏季每天浇灌时间上午11点之前，下午17点以后。</w:t>
      </w:r>
    </w:p>
    <w:p w14:paraId="65DA125D">
      <w:pPr>
        <w:spacing w:line="360" w:lineRule="auto"/>
        <w:ind w:firstLine="412" w:firstLineChars="200"/>
        <w:rPr>
          <w:rFonts w:hAnsi="宋体"/>
          <w:spacing w:val="-2"/>
          <w:szCs w:val="21"/>
        </w:rPr>
      </w:pPr>
      <w:r>
        <w:rPr>
          <w:rFonts w:hint="eastAsia" w:hAnsi="宋体"/>
          <w:spacing w:val="-2"/>
          <w:szCs w:val="21"/>
        </w:rPr>
        <w:t>12、冬季应对当年植物（补种）树木做好防冻保暖措施，乔木要做好越冬虫害的防治工作。</w:t>
      </w:r>
    </w:p>
    <w:p w14:paraId="2F0BBD4A">
      <w:pPr>
        <w:spacing w:line="360" w:lineRule="auto"/>
        <w:ind w:firstLine="412" w:firstLineChars="200"/>
        <w:rPr>
          <w:rFonts w:hAnsi="宋体"/>
          <w:spacing w:val="-2"/>
          <w:szCs w:val="21"/>
        </w:rPr>
      </w:pPr>
      <w:r>
        <w:rPr>
          <w:rFonts w:hint="eastAsia" w:hAnsi="宋体"/>
          <w:spacing w:val="-2"/>
          <w:szCs w:val="21"/>
        </w:rPr>
        <w:t>13、加强病虫害防治,科学合理使用农药、化肥，严禁因农药、化肥的使用造成空气及土壤污染。全年冬、春施肥不少于两次。</w:t>
      </w:r>
    </w:p>
    <w:p w14:paraId="287A7CF8">
      <w:pPr>
        <w:spacing w:line="360" w:lineRule="auto"/>
        <w:ind w:firstLine="412" w:firstLineChars="200"/>
        <w:rPr>
          <w:rFonts w:hAnsi="宋体"/>
          <w:spacing w:val="-2"/>
          <w:sz w:val="24"/>
        </w:rPr>
      </w:pPr>
      <w:r>
        <w:rPr>
          <w:rFonts w:hint="eastAsia" w:hAnsi="宋体"/>
          <w:spacing w:val="-2"/>
          <w:szCs w:val="21"/>
        </w:rPr>
        <w:t>14、加强园林绿化设施维护管理，定期对绿地照明设施、喷灌设施及护栏进行检查和维护，保证正常使用。</w:t>
      </w:r>
    </w:p>
    <w:p w14:paraId="151628C6">
      <w:pPr>
        <w:spacing w:line="360" w:lineRule="auto"/>
        <w:rPr>
          <w:rFonts w:hAnsi="宋体"/>
          <w:b/>
          <w:spacing w:val="-2"/>
          <w:sz w:val="24"/>
        </w:rPr>
      </w:pPr>
      <w:r>
        <w:rPr>
          <w:rFonts w:hint="eastAsia" w:hAnsi="宋体"/>
          <w:spacing w:val="-2"/>
          <w:sz w:val="24"/>
        </w:rPr>
        <w:br w:type="page"/>
      </w:r>
      <w:r>
        <w:rPr>
          <w:rFonts w:hint="eastAsia" w:hAnsi="宋体"/>
          <w:b/>
          <w:spacing w:val="-2"/>
          <w:sz w:val="24"/>
        </w:rPr>
        <w:t>附件四</w:t>
      </w:r>
    </w:p>
    <w:p w14:paraId="71B85015">
      <w:pPr>
        <w:spacing w:line="360" w:lineRule="auto"/>
        <w:jc w:val="center"/>
        <w:rPr>
          <w:rFonts w:hAnsi="宋体"/>
          <w:b/>
          <w:spacing w:val="-2"/>
          <w:sz w:val="24"/>
        </w:rPr>
      </w:pPr>
      <w:r>
        <w:rPr>
          <w:rFonts w:hint="eastAsia" w:hAnsi="宋体"/>
          <w:b/>
          <w:spacing w:val="-2"/>
          <w:sz w:val="24"/>
        </w:rPr>
        <w:t>九龙坡区市街绿化养护作业实施细则(试行稿)</w:t>
      </w:r>
    </w:p>
    <w:p w14:paraId="0562A450">
      <w:pPr>
        <w:widowControl/>
        <w:spacing w:line="360" w:lineRule="auto"/>
        <w:jc w:val="center"/>
        <w:textAlignment w:val="center"/>
        <w:rPr>
          <w:rFonts w:ascii="宋体" w:hAnsi="宋体" w:cs="宋体"/>
          <w:b/>
          <w:kern w:val="0"/>
        </w:rPr>
      </w:pPr>
      <w:r>
        <w:rPr>
          <w:rFonts w:hint="eastAsia" w:ascii="宋体" w:hAnsi="宋体" w:cs="宋体"/>
          <w:b/>
          <w:kern w:val="0"/>
        </w:rPr>
        <w:t xml:space="preserve"> </w:t>
      </w:r>
    </w:p>
    <w:tbl>
      <w:tblPr>
        <w:tblStyle w:val="14"/>
        <w:tblW w:w="0" w:type="auto"/>
        <w:tblInd w:w="93" w:type="dxa"/>
        <w:tblLayout w:type="fixed"/>
        <w:tblCellMar>
          <w:top w:w="0" w:type="dxa"/>
          <w:left w:w="108" w:type="dxa"/>
          <w:bottom w:w="0" w:type="dxa"/>
          <w:right w:w="108" w:type="dxa"/>
        </w:tblCellMar>
      </w:tblPr>
      <w:tblGrid>
        <w:gridCol w:w="351"/>
        <w:gridCol w:w="462"/>
        <w:gridCol w:w="350"/>
        <w:gridCol w:w="800"/>
        <w:gridCol w:w="1596"/>
        <w:gridCol w:w="1692"/>
        <w:gridCol w:w="3550"/>
      </w:tblGrid>
      <w:tr w14:paraId="2D3E9ABD">
        <w:tblPrEx>
          <w:tblCellMar>
            <w:top w:w="0" w:type="dxa"/>
            <w:left w:w="108" w:type="dxa"/>
            <w:bottom w:w="0" w:type="dxa"/>
            <w:right w:w="108" w:type="dxa"/>
          </w:tblCellMar>
        </w:tblPrEx>
        <w:trPr>
          <w:trHeight w:val="435" w:hRule="atLeast"/>
        </w:trPr>
        <w:tc>
          <w:tcPr>
            <w:tcW w:w="351" w:type="dxa"/>
            <w:tcBorders>
              <w:top w:val="single" w:color="000000" w:sz="12" w:space="0"/>
              <w:left w:val="single" w:color="000000" w:sz="12" w:space="0"/>
              <w:bottom w:val="single" w:color="000000" w:sz="4" w:space="0"/>
              <w:right w:val="single" w:color="000000" w:sz="4" w:space="0"/>
            </w:tcBorders>
            <w:tcMar>
              <w:top w:w="15" w:type="dxa"/>
              <w:left w:w="15" w:type="dxa"/>
              <w:bottom w:w="15" w:type="dxa"/>
              <w:right w:w="15" w:type="dxa"/>
            </w:tcMar>
            <w:vAlign w:val="center"/>
          </w:tcPr>
          <w:p w14:paraId="6ACAD5D5">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序号</w:t>
            </w:r>
          </w:p>
        </w:tc>
        <w:tc>
          <w:tcPr>
            <w:tcW w:w="462" w:type="dxa"/>
            <w:tcBorders>
              <w:top w:val="single" w:color="000000" w:sz="12" w:space="0"/>
              <w:left w:val="nil"/>
              <w:bottom w:val="single" w:color="000000" w:sz="4" w:space="0"/>
              <w:right w:val="single" w:color="000000" w:sz="4" w:space="0"/>
            </w:tcBorders>
            <w:tcMar>
              <w:top w:w="15" w:type="dxa"/>
              <w:left w:w="15" w:type="dxa"/>
              <w:bottom w:w="15" w:type="dxa"/>
              <w:right w:w="15" w:type="dxa"/>
            </w:tcMar>
            <w:vAlign w:val="center"/>
          </w:tcPr>
          <w:p w14:paraId="0945E415">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分类</w:t>
            </w:r>
          </w:p>
        </w:tc>
        <w:tc>
          <w:tcPr>
            <w:tcW w:w="350" w:type="dxa"/>
            <w:tcBorders>
              <w:top w:val="single" w:color="000000" w:sz="12" w:space="0"/>
              <w:left w:val="nil"/>
              <w:bottom w:val="single" w:color="000000" w:sz="4" w:space="0"/>
              <w:right w:val="single" w:color="000000" w:sz="4" w:space="0"/>
            </w:tcBorders>
            <w:tcMar>
              <w:top w:w="15" w:type="dxa"/>
              <w:left w:w="15" w:type="dxa"/>
              <w:bottom w:w="15" w:type="dxa"/>
              <w:right w:w="15" w:type="dxa"/>
            </w:tcMar>
            <w:vAlign w:val="center"/>
          </w:tcPr>
          <w:p w14:paraId="5A9CE912">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条目</w:t>
            </w:r>
          </w:p>
        </w:tc>
        <w:tc>
          <w:tcPr>
            <w:tcW w:w="800" w:type="dxa"/>
            <w:tcBorders>
              <w:top w:val="single" w:color="000000" w:sz="12" w:space="0"/>
              <w:left w:val="nil"/>
              <w:bottom w:val="single" w:color="000000" w:sz="4" w:space="0"/>
              <w:right w:val="single" w:color="000000" w:sz="4" w:space="0"/>
            </w:tcBorders>
            <w:tcMar>
              <w:top w:w="15" w:type="dxa"/>
              <w:left w:w="15" w:type="dxa"/>
              <w:bottom w:w="15" w:type="dxa"/>
              <w:right w:w="15" w:type="dxa"/>
            </w:tcMar>
            <w:vAlign w:val="center"/>
          </w:tcPr>
          <w:p w14:paraId="4C3C5C2F">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种类</w:t>
            </w:r>
          </w:p>
        </w:tc>
        <w:tc>
          <w:tcPr>
            <w:tcW w:w="3288" w:type="dxa"/>
            <w:gridSpan w:val="2"/>
            <w:tcBorders>
              <w:top w:val="single" w:color="000000" w:sz="12" w:space="0"/>
              <w:left w:val="nil"/>
              <w:bottom w:val="single" w:color="000000" w:sz="4" w:space="0"/>
              <w:right w:val="single" w:color="000000" w:sz="4" w:space="0"/>
            </w:tcBorders>
            <w:tcMar>
              <w:top w:w="15" w:type="dxa"/>
              <w:left w:w="15" w:type="dxa"/>
              <w:bottom w:w="15" w:type="dxa"/>
              <w:right w:w="15" w:type="dxa"/>
            </w:tcMar>
            <w:vAlign w:val="center"/>
          </w:tcPr>
          <w:p w14:paraId="10D37585">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一类景观绿地养护标准</w:t>
            </w:r>
          </w:p>
        </w:tc>
        <w:tc>
          <w:tcPr>
            <w:tcW w:w="3550" w:type="dxa"/>
            <w:tcBorders>
              <w:top w:val="single" w:color="000000" w:sz="12" w:space="0"/>
              <w:left w:val="nil"/>
              <w:bottom w:val="single" w:color="000000" w:sz="4" w:space="0"/>
              <w:right w:val="single" w:color="000000" w:sz="12" w:space="0"/>
            </w:tcBorders>
            <w:tcMar>
              <w:top w:w="15" w:type="dxa"/>
              <w:left w:w="15" w:type="dxa"/>
              <w:bottom w:w="15" w:type="dxa"/>
              <w:right w:w="15" w:type="dxa"/>
            </w:tcMar>
            <w:vAlign w:val="center"/>
          </w:tcPr>
          <w:p w14:paraId="26EFB9B1">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二类景观绿地养护标准</w:t>
            </w:r>
          </w:p>
        </w:tc>
      </w:tr>
      <w:tr w14:paraId="480D1ABF">
        <w:tblPrEx>
          <w:tblCellMar>
            <w:top w:w="0" w:type="dxa"/>
            <w:left w:w="108" w:type="dxa"/>
            <w:bottom w:w="0" w:type="dxa"/>
            <w:right w:w="108" w:type="dxa"/>
          </w:tblCellMar>
        </w:tblPrEx>
        <w:trPr>
          <w:trHeight w:val="795" w:hRule="atLeast"/>
        </w:trPr>
        <w:tc>
          <w:tcPr>
            <w:tcW w:w="351" w:type="dxa"/>
            <w:vMerge w:val="restart"/>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107E898E">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1</w:t>
            </w:r>
          </w:p>
        </w:tc>
        <w:tc>
          <w:tcPr>
            <w:tcW w:w="462"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2083D549">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卫</w:t>
            </w:r>
            <w:r>
              <w:rPr>
                <w:rFonts w:hint="eastAsia" w:ascii="宋体" w:hAnsi="宋体" w:cs="宋体"/>
                <w:b/>
                <w:kern w:val="0"/>
                <w:sz w:val="18"/>
                <w:szCs w:val="18"/>
              </w:rPr>
              <w:br w:type="textWrapping"/>
            </w:r>
            <w:r>
              <w:rPr>
                <w:rFonts w:hint="eastAsia" w:ascii="宋体" w:hAnsi="宋体" w:cs="宋体"/>
                <w:b/>
                <w:kern w:val="0"/>
                <w:sz w:val="18"/>
                <w:szCs w:val="18"/>
              </w:rPr>
              <w:t>生</w:t>
            </w:r>
            <w:r>
              <w:rPr>
                <w:rFonts w:hint="eastAsia" w:ascii="宋体" w:hAnsi="宋体" w:cs="宋体"/>
                <w:b/>
                <w:kern w:val="0"/>
                <w:sz w:val="18"/>
                <w:szCs w:val="18"/>
              </w:rPr>
              <w:br w:type="textWrapping"/>
            </w:r>
            <w:r>
              <w:rPr>
                <w:rFonts w:hint="eastAsia" w:ascii="宋体" w:hAnsi="宋体" w:cs="宋体"/>
                <w:b/>
                <w:kern w:val="0"/>
                <w:sz w:val="18"/>
                <w:szCs w:val="18"/>
              </w:rPr>
              <w:t>保</w:t>
            </w:r>
            <w:r>
              <w:rPr>
                <w:rFonts w:hint="eastAsia" w:ascii="宋体" w:hAnsi="宋体" w:cs="宋体"/>
                <w:b/>
                <w:kern w:val="0"/>
                <w:sz w:val="18"/>
                <w:szCs w:val="18"/>
              </w:rPr>
              <w:br w:type="textWrapping"/>
            </w:r>
            <w:r>
              <w:rPr>
                <w:rFonts w:hint="eastAsia" w:ascii="宋体" w:hAnsi="宋体" w:cs="宋体"/>
                <w:b/>
                <w:kern w:val="0"/>
                <w:sz w:val="18"/>
                <w:szCs w:val="18"/>
              </w:rPr>
              <w:t>洁</w:t>
            </w: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0262147">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1</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67D8769D">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人工日</w:t>
            </w:r>
            <w:r>
              <w:rPr>
                <w:rFonts w:hint="eastAsia" w:ascii="宋体" w:hAnsi="宋体" w:cs="宋体"/>
                <w:kern w:val="0"/>
                <w:sz w:val="18"/>
                <w:szCs w:val="18"/>
              </w:rPr>
              <w:br w:type="textWrapping"/>
            </w:r>
            <w:r>
              <w:rPr>
                <w:rFonts w:hint="eastAsia" w:ascii="宋体" w:hAnsi="宋体" w:cs="宋体"/>
                <w:kern w:val="0"/>
                <w:sz w:val="18"/>
                <w:szCs w:val="18"/>
              </w:rPr>
              <w:t>常保洁</w:t>
            </w:r>
          </w:p>
        </w:tc>
        <w:tc>
          <w:tcPr>
            <w:tcW w:w="3288" w:type="dxa"/>
            <w:gridSpan w:val="2"/>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55017C97">
            <w:pPr>
              <w:widowControl/>
              <w:spacing w:line="360" w:lineRule="auto"/>
              <w:jc w:val="left"/>
              <w:textAlignment w:val="center"/>
              <w:rPr>
                <w:rFonts w:ascii="宋体" w:hAnsi="宋体" w:cs="宋体"/>
                <w:sz w:val="18"/>
                <w:szCs w:val="18"/>
              </w:rPr>
            </w:pPr>
            <w:r>
              <w:rPr>
                <w:rFonts w:hint="eastAsia" w:ascii="宋体" w:hAnsi="宋体" w:cs="宋体"/>
                <w:kern w:val="0"/>
                <w:sz w:val="18"/>
                <w:szCs w:val="18"/>
              </w:rPr>
              <w:t>配备专职保洁人员，每天早晨8点30分以前清理完第一遍保洁，然后再局部清理，全天巡查，保持绿地内全天候干净整洁</w:t>
            </w:r>
          </w:p>
        </w:tc>
        <w:tc>
          <w:tcPr>
            <w:tcW w:w="3550" w:type="dxa"/>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F7A8545">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每日到人巡回保洁，每天全面清理一次，保持干净</w:t>
            </w:r>
          </w:p>
        </w:tc>
      </w:tr>
      <w:tr w14:paraId="161B5847">
        <w:tblPrEx>
          <w:tblCellMar>
            <w:top w:w="0" w:type="dxa"/>
            <w:left w:w="108" w:type="dxa"/>
            <w:bottom w:w="0" w:type="dxa"/>
            <w:right w:w="108" w:type="dxa"/>
          </w:tblCellMar>
        </w:tblPrEx>
        <w:trPr>
          <w:trHeight w:val="1035"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4EC9E0FE">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04F8A31E">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3EE904F">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2</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3D51EED9">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除渣</w:t>
            </w:r>
          </w:p>
        </w:tc>
        <w:tc>
          <w:tcPr>
            <w:tcW w:w="3288" w:type="dxa"/>
            <w:gridSpan w:val="2"/>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B95F377">
            <w:pPr>
              <w:widowControl/>
              <w:spacing w:line="360" w:lineRule="auto"/>
              <w:jc w:val="left"/>
              <w:textAlignment w:val="center"/>
              <w:rPr>
                <w:rFonts w:ascii="宋体" w:hAnsi="宋体" w:cs="宋体"/>
                <w:sz w:val="18"/>
                <w:szCs w:val="18"/>
              </w:rPr>
            </w:pPr>
            <w:r>
              <w:rPr>
                <w:rFonts w:hint="eastAsia" w:ascii="宋体" w:hAnsi="宋体" w:cs="宋体"/>
                <w:kern w:val="0"/>
                <w:sz w:val="18"/>
                <w:szCs w:val="18"/>
              </w:rPr>
              <w:t>保洁和乔灌木、草坪修剪后的垃圾杂物及时归堆并摆放在隐蔽处，垃圾日产日清，不过夜，不焚烧。</w:t>
            </w:r>
          </w:p>
        </w:tc>
        <w:tc>
          <w:tcPr>
            <w:tcW w:w="3550" w:type="dxa"/>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7DC129A6">
            <w:pPr>
              <w:widowControl/>
              <w:spacing w:line="360" w:lineRule="auto"/>
              <w:jc w:val="left"/>
              <w:textAlignment w:val="center"/>
              <w:rPr>
                <w:rFonts w:ascii="宋体" w:hAnsi="宋体" w:cs="宋体"/>
                <w:sz w:val="18"/>
                <w:szCs w:val="18"/>
              </w:rPr>
            </w:pPr>
            <w:r>
              <w:rPr>
                <w:rFonts w:hint="eastAsia" w:ascii="宋体" w:hAnsi="宋体" w:cs="宋体"/>
                <w:kern w:val="0"/>
                <w:sz w:val="18"/>
                <w:szCs w:val="18"/>
              </w:rPr>
              <w:t>全面清理完后，垃圾、杂物等归堆放置在不影响人车安全处，并在24小时内清理干净，不得焚烧。</w:t>
            </w:r>
          </w:p>
        </w:tc>
      </w:tr>
      <w:tr w14:paraId="7186A1F8">
        <w:tblPrEx>
          <w:tblCellMar>
            <w:top w:w="0" w:type="dxa"/>
            <w:left w:w="108" w:type="dxa"/>
            <w:bottom w:w="0" w:type="dxa"/>
            <w:right w:w="108" w:type="dxa"/>
          </w:tblCellMar>
        </w:tblPrEx>
        <w:trPr>
          <w:trHeight w:val="795"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49AE7681">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320B95CC">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5A04390B">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3</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68E584E">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冲洗</w:t>
            </w:r>
            <w:r>
              <w:rPr>
                <w:rFonts w:hint="eastAsia" w:ascii="宋体" w:hAnsi="宋体" w:cs="宋体"/>
                <w:kern w:val="0"/>
                <w:sz w:val="18"/>
                <w:szCs w:val="18"/>
              </w:rPr>
              <w:br w:type="textWrapping"/>
            </w:r>
            <w:r>
              <w:rPr>
                <w:rFonts w:hint="eastAsia" w:ascii="宋体" w:hAnsi="宋体" w:cs="宋体"/>
                <w:kern w:val="0"/>
                <w:sz w:val="18"/>
                <w:szCs w:val="18"/>
              </w:rPr>
              <w:t>降尘</w:t>
            </w:r>
          </w:p>
        </w:tc>
        <w:tc>
          <w:tcPr>
            <w:tcW w:w="3288" w:type="dxa"/>
            <w:gridSpan w:val="2"/>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1B60790">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非雨天每1-2天冲洗一次，保证植物清爽整洁，显现植物本色。</w:t>
            </w:r>
          </w:p>
        </w:tc>
        <w:tc>
          <w:tcPr>
            <w:tcW w:w="3550" w:type="dxa"/>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1ACD6F2">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视天气情况定期冲洗，保证植物清爽整洁。</w:t>
            </w:r>
          </w:p>
        </w:tc>
      </w:tr>
      <w:tr w14:paraId="2DB063AA">
        <w:tblPrEx>
          <w:tblCellMar>
            <w:top w:w="0" w:type="dxa"/>
            <w:left w:w="108" w:type="dxa"/>
            <w:bottom w:w="0" w:type="dxa"/>
            <w:right w:w="108" w:type="dxa"/>
          </w:tblCellMar>
        </w:tblPrEx>
        <w:trPr>
          <w:trHeight w:val="795"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3AE312A0">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6009B699">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68017E3">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4</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286C024">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安全</w:t>
            </w:r>
            <w:r>
              <w:rPr>
                <w:rFonts w:hint="eastAsia" w:ascii="宋体" w:hAnsi="宋体" w:cs="宋体"/>
                <w:kern w:val="0"/>
                <w:sz w:val="18"/>
                <w:szCs w:val="18"/>
              </w:rPr>
              <w:br w:type="textWrapping"/>
            </w:r>
            <w:r>
              <w:rPr>
                <w:rFonts w:hint="eastAsia" w:ascii="宋体" w:hAnsi="宋体" w:cs="宋体"/>
                <w:kern w:val="0"/>
                <w:sz w:val="18"/>
                <w:szCs w:val="18"/>
              </w:rPr>
              <w:t>工作</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19AA81C3">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路边作业必须摆足够数量警示锥形桶（2米内一个），保洁人员必须穿着工作服和反光背心。</w:t>
            </w:r>
          </w:p>
        </w:tc>
      </w:tr>
      <w:tr w14:paraId="0D497FAA">
        <w:tblPrEx>
          <w:tblCellMar>
            <w:top w:w="0" w:type="dxa"/>
            <w:left w:w="108" w:type="dxa"/>
            <w:bottom w:w="0" w:type="dxa"/>
            <w:right w:w="108" w:type="dxa"/>
          </w:tblCellMar>
        </w:tblPrEx>
        <w:trPr>
          <w:trHeight w:val="795" w:hRule="atLeast"/>
        </w:trPr>
        <w:tc>
          <w:tcPr>
            <w:tcW w:w="351" w:type="dxa"/>
            <w:vMerge w:val="restart"/>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7639AE0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2</w:t>
            </w:r>
          </w:p>
        </w:tc>
        <w:tc>
          <w:tcPr>
            <w:tcW w:w="462"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56215334">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抗旱</w:t>
            </w:r>
            <w:r>
              <w:rPr>
                <w:rFonts w:hint="eastAsia" w:ascii="宋体" w:hAnsi="宋体" w:cs="宋体"/>
                <w:b/>
                <w:kern w:val="0"/>
                <w:sz w:val="18"/>
                <w:szCs w:val="18"/>
              </w:rPr>
              <w:br w:type="textWrapping"/>
            </w:r>
            <w:r>
              <w:rPr>
                <w:rFonts w:hint="eastAsia" w:ascii="宋体" w:hAnsi="宋体" w:cs="宋体"/>
                <w:b/>
                <w:kern w:val="0"/>
                <w:sz w:val="18"/>
                <w:szCs w:val="18"/>
              </w:rPr>
              <w:t>浇水</w:t>
            </w:r>
            <w:r>
              <w:rPr>
                <w:rFonts w:hint="eastAsia" w:ascii="宋体" w:hAnsi="宋体" w:cs="宋体"/>
                <w:b/>
                <w:kern w:val="0"/>
                <w:sz w:val="18"/>
                <w:szCs w:val="18"/>
              </w:rPr>
              <w:br w:type="textWrapping"/>
            </w:r>
            <w:r>
              <w:rPr>
                <w:rFonts w:hint="eastAsia" w:ascii="宋体" w:hAnsi="宋体" w:cs="宋体"/>
                <w:b/>
                <w:kern w:val="0"/>
                <w:sz w:val="18"/>
                <w:szCs w:val="18"/>
              </w:rPr>
              <w:t>排水</w:t>
            </w: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059F7A74">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1</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F147EA0">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夏季</w:t>
            </w:r>
            <w:r>
              <w:rPr>
                <w:rFonts w:hint="eastAsia" w:ascii="宋体" w:hAnsi="宋体" w:cs="宋体"/>
                <w:kern w:val="0"/>
                <w:sz w:val="18"/>
                <w:szCs w:val="18"/>
              </w:rPr>
              <w:br w:type="textWrapping"/>
            </w:r>
            <w:r>
              <w:rPr>
                <w:rFonts w:hint="eastAsia" w:ascii="宋体" w:hAnsi="宋体" w:cs="宋体"/>
                <w:kern w:val="0"/>
                <w:sz w:val="18"/>
                <w:szCs w:val="18"/>
              </w:rPr>
              <w:t>抗旱</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1F253BA8">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每天至少浇水一遍，确保浇水质量，浇足浇透；夏季每天喷淋最佳时间为11点之前和17点之后。抗旱时大树、景观树挖树圈并每周松土1次，草花保证早晚各浇水1次。</w:t>
            </w:r>
          </w:p>
        </w:tc>
      </w:tr>
      <w:tr w14:paraId="5B79892D">
        <w:tblPrEx>
          <w:tblCellMar>
            <w:top w:w="0" w:type="dxa"/>
            <w:left w:w="108" w:type="dxa"/>
            <w:bottom w:w="0" w:type="dxa"/>
            <w:right w:w="108" w:type="dxa"/>
          </w:tblCellMar>
        </w:tblPrEx>
        <w:trPr>
          <w:trHeight w:val="795"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14F6D8FF">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1EA5BAAA">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35135D8">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2</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64BF6C0">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浇水</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4A121B6D">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旱季多灌，雨季少灌或不灌；发芽生长期（春旱）多灌，休眠期控制灌水。浇水要浇透，渗入地下10-15cm。</w:t>
            </w:r>
          </w:p>
        </w:tc>
      </w:tr>
      <w:tr w14:paraId="5477E820">
        <w:tblPrEx>
          <w:tblCellMar>
            <w:top w:w="0" w:type="dxa"/>
            <w:left w:w="108" w:type="dxa"/>
            <w:bottom w:w="0" w:type="dxa"/>
            <w:right w:w="108" w:type="dxa"/>
          </w:tblCellMar>
        </w:tblPrEx>
        <w:trPr>
          <w:trHeight w:val="795"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0926E20D">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58D01038">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4DB8E41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3</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4C52B0E0">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死亡率</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D9923CD">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乔木不得死亡，地苗无明显死亡。</w:t>
            </w:r>
          </w:p>
        </w:tc>
      </w:tr>
      <w:tr w14:paraId="7D068741">
        <w:tblPrEx>
          <w:tblCellMar>
            <w:top w:w="0" w:type="dxa"/>
            <w:left w:w="108" w:type="dxa"/>
            <w:bottom w:w="0" w:type="dxa"/>
            <w:right w:w="108" w:type="dxa"/>
          </w:tblCellMar>
        </w:tblPrEx>
        <w:trPr>
          <w:trHeight w:val="54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3DCB9533">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1CBA8BD9">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3F1DC657">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4</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A51724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排水</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3DBC9E1">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每月检查绿地排水情况一次，填低洼，修整地形坡度、平整度和排水沟，雨后2天内完成排涝。</w:t>
            </w:r>
          </w:p>
        </w:tc>
      </w:tr>
      <w:tr w14:paraId="4B0AE48F">
        <w:tblPrEx>
          <w:tblCellMar>
            <w:top w:w="0" w:type="dxa"/>
            <w:left w:w="108" w:type="dxa"/>
            <w:bottom w:w="0" w:type="dxa"/>
            <w:right w:w="108" w:type="dxa"/>
          </w:tblCellMar>
        </w:tblPrEx>
        <w:trPr>
          <w:trHeight w:val="60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0D4284B2">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6D600DDC">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46EC724A">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5</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13D5324E">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机具</w:t>
            </w:r>
            <w:r>
              <w:rPr>
                <w:rFonts w:hint="eastAsia" w:ascii="宋体" w:hAnsi="宋体" w:cs="宋体"/>
                <w:kern w:val="0"/>
                <w:sz w:val="18"/>
                <w:szCs w:val="18"/>
              </w:rPr>
              <w:br w:type="textWrapping"/>
            </w:r>
            <w:r>
              <w:rPr>
                <w:rFonts w:hint="eastAsia" w:ascii="宋体" w:hAnsi="宋体" w:cs="宋体"/>
                <w:kern w:val="0"/>
                <w:sz w:val="18"/>
                <w:szCs w:val="18"/>
              </w:rPr>
              <w:t>要求</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7E997E87">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水车、管网、水泵提前检修管网和水泵，抗旱时必须保证能正常使用，同时每家公司水车平时不得少于3辆，旱季（6-9月）不少于6辆。</w:t>
            </w:r>
          </w:p>
        </w:tc>
      </w:tr>
      <w:tr w14:paraId="70748D4B">
        <w:tblPrEx>
          <w:tblCellMar>
            <w:top w:w="0" w:type="dxa"/>
            <w:left w:w="108" w:type="dxa"/>
            <w:bottom w:w="0" w:type="dxa"/>
            <w:right w:w="108" w:type="dxa"/>
          </w:tblCellMar>
        </w:tblPrEx>
        <w:trPr>
          <w:trHeight w:val="60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1B1A02EC">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044A1B98">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06A4AAD4">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6</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D4A775A">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安全</w:t>
            </w:r>
            <w:r>
              <w:rPr>
                <w:rFonts w:hint="eastAsia" w:ascii="宋体" w:hAnsi="宋体" w:cs="宋体"/>
                <w:kern w:val="0"/>
                <w:sz w:val="18"/>
                <w:szCs w:val="18"/>
              </w:rPr>
              <w:br w:type="textWrapping"/>
            </w:r>
            <w:r>
              <w:rPr>
                <w:rFonts w:hint="eastAsia" w:ascii="宋体" w:hAnsi="宋体" w:cs="宋体"/>
                <w:kern w:val="0"/>
                <w:sz w:val="18"/>
                <w:szCs w:val="18"/>
              </w:rPr>
              <w:t>工作</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01FBB06F">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路边作业必须摆足够数量警示锥形桶（2米内一个），保洁人员必须穿着工作服和反光背心，上车作业必须捆绑安全绳。</w:t>
            </w:r>
          </w:p>
        </w:tc>
      </w:tr>
      <w:tr w14:paraId="473559D3">
        <w:tblPrEx>
          <w:tblCellMar>
            <w:top w:w="0" w:type="dxa"/>
            <w:left w:w="108" w:type="dxa"/>
            <w:bottom w:w="0" w:type="dxa"/>
            <w:right w:w="108" w:type="dxa"/>
          </w:tblCellMar>
        </w:tblPrEx>
        <w:trPr>
          <w:trHeight w:val="795" w:hRule="atLeast"/>
        </w:trPr>
        <w:tc>
          <w:tcPr>
            <w:tcW w:w="351" w:type="dxa"/>
            <w:vMerge w:val="restart"/>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272B1F5F">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3</w:t>
            </w:r>
          </w:p>
        </w:tc>
        <w:tc>
          <w:tcPr>
            <w:tcW w:w="462"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21C7AC0C">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除杂草、松土</w:t>
            </w: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16CD905">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1</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43418E55">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除杂草</w:t>
            </w:r>
          </w:p>
        </w:tc>
        <w:tc>
          <w:tcPr>
            <w:tcW w:w="1596"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382DE772">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3-5天清理1次杂草，绿地内不得有阔叶或杂草高于地苗现象</w:t>
            </w:r>
          </w:p>
        </w:tc>
        <w:tc>
          <w:tcPr>
            <w:tcW w:w="5242" w:type="dxa"/>
            <w:gridSpan w:val="2"/>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7DD1644B">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每周清理1次杂草，绿地内不得有阔叶或杂草高于地苗现象</w:t>
            </w:r>
          </w:p>
        </w:tc>
      </w:tr>
      <w:tr w14:paraId="0F632709">
        <w:tblPrEx>
          <w:tblCellMar>
            <w:top w:w="0" w:type="dxa"/>
            <w:left w:w="108" w:type="dxa"/>
            <w:bottom w:w="0" w:type="dxa"/>
            <w:right w:w="108" w:type="dxa"/>
          </w:tblCellMar>
        </w:tblPrEx>
        <w:trPr>
          <w:trHeight w:val="54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79F72F6C">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50519133">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1F0B0F51">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2</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5F3C194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松土</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4D1BCD28">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每10-15天松土一次，松土深度不小于20cm，每1个月左右整修树穴和分隔沟1次,抗旱时松土和挖树圈每周1次。</w:t>
            </w:r>
          </w:p>
        </w:tc>
      </w:tr>
      <w:tr w14:paraId="100985AF">
        <w:tblPrEx>
          <w:tblCellMar>
            <w:top w:w="0" w:type="dxa"/>
            <w:left w:w="108" w:type="dxa"/>
            <w:bottom w:w="0" w:type="dxa"/>
            <w:right w:w="108" w:type="dxa"/>
          </w:tblCellMar>
        </w:tblPrEx>
        <w:trPr>
          <w:trHeight w:val="1230" w:hRule="atLeast"/>
        </w:trPr>
        <w:tc>
          <w:tcPr>
            <w:tcW w:w="351" w:type="dxa"/>
            <w:vMerge w:val="restart"/>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22B7E29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4</w:t>
            </w:r>
          </w:p>
        </w:tc>
        <w:tc>
          <w:tcPr>
            <w:tcW w:w="462"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1E1B8BD1">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修</w:t>
            </w:r>
            <w:r>
              <w:rPr>
                <w:rFonts w:hint="eastAsia" w:ascii="宋体" w:hAnsi="宋体" w:cs="宋体"/>
                <w:b/>
                <w:kern w:val="0"/>
                <w:sz w:val="18"/>
                <w:szCs w:val="18"/>
              </w:rPr>
              <w:br w:type="textWrapping"/>
            </w:r>
            <w:r>
              <w:rPr>
                <w:rFonts w:hint="eastAsia" w:ascii="宋体" w:hAnsi="宋体" w:cs="宋体"/>
                <w:b/>
                <w:kern w:val="0"/>
                <w:sz w:val="18"/>
                <w:szCs w:val="18"/>
              </w:rPr>
              <w:br w:type="textWrapping"/>
            </w:r>
            <w:r>
              <w:rPr>
                <w:rFonts w:hint="eastAsia" w:ascii="宋体" w:hAnsi="宋体" w:cs="宋体"/>
                <w:b/>
                <w:kern w:val="0"/>
                <w:sz w:val="18"/>
                <w:szCs w:val="18"/>
              </w:rPr>
              <w:br w:type="textWrapping"/>
            </w:r>
            <w:r>
              <w:rPr>
                <w:rFonts w:hint="eastAsia" w:ascii="宋体" w:hAnsi="宋体" w:cs="宋体"/>
                <w:b/>
                <w:kern w:val="0"/>
                <w:sz w:val="18"/>
                <w:szCs w:val="18"/>
              </w:rPr>
              <w:br w:type="textWrapping"/>
            </w:r>
            <w:r>
              <w:rPr>
                <w:rFonts w:hint="eastAsia" w:ascii="宋体" w:hAnsi="宋体" w:cs="宋体"/>
                <w:b/>
                <w:kern w:val="0"/>
                <w:sz w:val="18"/>
                <w:szCs w:val="18"/>
              </w:rPr>
              <w:t>剪</w:t>
            </w:r>
          </w:p>
        </w:tc>
        <w:tc>
          <w:tcPr>
            <w:tcW w:w="350"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11A888A2">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1</w:t>
            </w:r>
          </w:p>
        </w:tc>
        <w:tc>
          <w:tcPr>
            <w:tcW w:w="800"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0D3C748A">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乔木</w:t>
            </w:r>
            <w:r>
              <w:rPr>
                <w:rFonts w:hint="eastAsia" w:ascii="宋体" w:hAnsi="宋体" w:cs="宋体"/>
                <w:kern w:val="0"/>
                <w:sz w:val="18"/>
                <w:szCs w:val="18"/>
              </w:rPr>
              <w:br w:type="textWrapping"/>
            </w:r>
            <w:r>
              <w:rPr>
                <w:rFonts w:hint="eastAsia" w:ascii="宋体" w:hAnsi="宋体" w:cs="宋体"/>
                <w:kern w:val="0"/>
                <w:sz w:val="18"/>
                <w:szCs w:val="18"/>
              </w:rPr>
              <w:t>修剪</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27E8BA39">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每2年大修一次，每年春秋两季各进行一次中修，每月清理下垂枝、过密枝、徒长枝、病虫枝、枯枝一次，观花乔木花期过后一周内完成残花老枝的修剪。</w:t>
            </w:r>
          </w:p>
        </w:tc>
      </w:tr>
      <w:tr w14:paraId="17217910">
        <w:tblPrEx>
          <w:tblCellMar>
            <w:top w:w="0" w:type="dxa"/>
            <w:left w:w="108" w:type="dxa"/>
            <w:bottom w:w="0" w:type="dxa"/>
            <w:right w:w="108" w:type="dxa"/>
          </w:tblCellMar>
        </w:tblPrEx>
        <w:trPr>
          <w:trHeight w:val="102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282640B8">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06884D92">
            <w:pPr>
              <w:spacing w:line="360" w:lineRule="auto"/>
              <w:rPr>
                <w:sz w:val="20"/>
                <w:szCs w:val="20"/>
              </w:rPr>
            </w:pPr>
          </w:p>
        </w:tc>
        <w:tc>
          <w:tcPr>
            <w:tcW w:w="350"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564DD147">
            <w:pPr>
              <w:spacing w:line="360" w:lineRule="auto"/>
              <w:rPr>
                <w:sz w:val="20"/>
                <w:szCs w:val="20"/>
              </w:rPr>
            </w:pPr>
          </w:p>
        </w:tc>
        <w:tc>
          <w:tcPr>
            <w:tcW w:w="800"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223E36A1">
            <w:pPr>
              <w:spacing w:line="360" w:lineRule="auto"/>
              <w:rPr>
                <w:sz w:val="20"/>
                <w:szCs w:val="20"/>
              </w:rPr>
            </w:pP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4136E3B3">
            <w:pPr>
              <w:widowControl/>
              <w:spacing w:line="360" w:lineRule="auto"/>
              <w:jc w:val="left"/>
              <w:textAlignment w:val="center"/>
              <w:rPr>
                <w:rFonts w:ascii="宋体" w:hAnsi="宋体" w:cs="宋体"/>
                <w:sz w:val="18"/>
                <w:szCs w:val="18"/>
              </w:rPr>
            </w:pPr>
            <w:r>
              <w:rPr>
                <w:rFonts w:hint="eastAsia" w:ascii="宋体" w:hAnsi="宋体" w:cs="宋体"/>
                <w:kern w:val="0"/>
                <w:sz w:val="18"/>
                <w:szCs w:val="18"/>
              </w:rPr>
              <w:t>根据植株所处位置和其功能进行修剪，剪口应在剪口芽上1cm处，剪口平滑，不得劈裂，留桩。剪口芽截取干径5cm以上的枝干茬口必须涂保护剂。行道树分支点2.5米以上，开花植株必须在花芽分化前进行修剪，以免将花芽剪除，花谢后要及时剪掉残花老枝。</w:t>
            </w:r>
          </w:p>
        </w:tc>
      </w:tr>
      <w:tr w14:paraId="5E968895">
        <w:tblPrEx>
          <w:tblCellMar>
            <w:top w:w="0" w:type="dxa"/>
            <w:left w:w="108" w:type="dxa"/>
            <w:bottom w:w="0" w:type="dxa"/>
            <w:right w:w="108" w:type="dxa"/>
          </w:tblCellMar>
        </w:tblPrEx>
        <w:trPr>
          <w:trHeight w:val="123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2EF95140">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20CB6C9D">
            <w:pPr>
              <w:spacing w:line="360" w:lineRule="auto"/>
              <w:rPr>
                <w:sz w:val="20"/>
                <w:szCs w:val="20"/>
              </w:rPr>
            </w:pPr>
          </w:p>
        </w:tc>
        <w:tc>
          <w:tcPr>
            <w:tcW w:w="350"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096ED8A3">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2</w:t>
            </w:r>
          </w:p>
        </w:tc>
        <w:tc>
          <w:tcPr>
            <w:tcW w:w="800"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7A79939F">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灌木</w:t>
            </w:r>
            <w:r>
              <w:rPr>
                <w:rFonts w:hint="eastAsia" w:ascii="宋体" w:hAnsi="宋体" w:cs="宋体"/>
                <w:kern w:val="0"/>
                <w:sz w:val="18"/>
                <w:szCs w:val="18"/>
              </w:rPr>
              <w:br w:type="textWrapping"/>
            </w:r>
            <w:r>
              <w:rPr>
                <w:rFonts w:hint="eastAsia" w:ascii="宋体" w:hAnsi="宋体" w:cs="宋体"/>
                <w:kern w:val="0"/>
                <w:sz w:val="18"/>
                <w:szCs w:val="18"/>
              </w:rPr>
              <w:t>修剪</w:t>
            </w:r>
          </w:p>
        </w:tc>
        <w:tc>
          <w:tcPr>
            <w:tcW w:w="1596"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3A3A3118">
            <w:pPr>
              <w:widowControl/>
              <w:spacing w:line="360" w:lineRule="auto"/>
              <w:jc w:val="left"/>
              <w:textAlignment w:val="center"/>
              <w:rPr>
                <w:rFonts w:ascii="宋体" w:hAnsi="宋体" w:cs="宋体"/>
                <w:sz w:val="18"/>
                <w:szCs w:val="18"/>
              </w:rPr>
            </w:pPr>
            <w:r>
              <w:rPr>
                <w:rFonts w:hint="eastAsia" w:ascii="宋体" w:hAnsi="宋体" w:cs="宋体"/>
                <w:kern w:val="0"/>
                <w:sz w:val="18"/>
                <w:szCs w:val="18"/>
              </w:rPr>
              <w:t>生长季每月修剪整形3-4次，休眠季每月修剪2-3次，根据整形要求保证植物最佳效果和保持植物正常的林迹线。</w:t>
            </w:r>
          </w:p>
        </w:tc>
        <w:tc>
          <w:tcPr>
            <w:tcW w:w="5242" w:type="dxa"/>
            <w:gridSpan w:val="2"/>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8146B13">
            <w:pPr>
              <w:widowControl/>
              <w:spacing w:line="360" w:lineRule="auto"/>
              <w:jc w:val="left"/>
              <w:textAlignment w:val="center"/>
              <w:rPr>
                <w:rFonts w:ascii="宋体" w:hAnsi="宋体" w:cs="宋体"/>
                <w:sz w:val="18"/>
                <w:szCs w:val="18"/>
              </w:rPr>
            </w:pPr>
            <w:r>
              <w:rPr>
                <w:rFonts w:hint="eastAsia" w:ascii="宋体" w:hAnsi="宋体" w:cs="宋体"/>
                <w:kern w:val="0"/>
                <w:sz w:val="18"/>
                <w:szCs w:val="18"/>
              </w:rPr>
              <w:t>生长季每月修剪整形2-3次，休眠季每月修剪1-2次，根据整形要求保证植物最佳效果和保持植物正常的林迹线。</w:t>
            </w:r>
          </w:p>
        </w:tc>
      </w:tr>
      <w:tr w14:paraId="648BE13D">
        <w:tblPrEx>
          <w:tblCellMar>
            <w:top w:w="0" w:type="dxa"/>
            <w:left w:w="108" w:type="dxa"/>
            <w:bottom w:w="0" w:type="dxa"/>
            <w:right w:w="108" w:type="dxa"/>
          </w:tblCellMar>
        </w:tblPrEx>
        <w:trPr>
          <w:trHeight w:val="615"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189DA081">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6A82D68C">
            <w:pPr>
              <w:spacing w:line="360" w:lineRule="auto"/>
              <w:rPr>
                <w:sz w:val="20"/>
                <w:szCs w:val="20"/>
              </w:rPr>
            </w:pPr>
          </w:p>
        </w:tc>
        <w:tc>
          <w:tcPr>
            <w:tcW w:w="350"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56C1F9D1">
            <w:pPr>
              <w:spacing w:line="360" w:lineRule="auto"/>
              <w:rPr>
                <w:sz w:val="20"/>
                <w:szCs w:val="20"/>
              </w:rPr>
            </w:pPr>
          </w:p>
        </w:tc>
        <w:tc>
          <w:tcPr>
            <w:tcW w:w="800"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5981A2D9">
            <w:pPr>
              <w:spacing w:line="360" w:lineRule="auto"/>
              <w:rPr>
                <w:sz w:val="20"/>
                <w:szCs w:val="20"/>
              </w:rPr>
            </w:pP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7F847798">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根据色块大小，色块间间隔15-35cm。色块边界倒圆圆润。整形灌木入冬前最后一次修剪不得晚于11月中旬。</w:t>
            </w:r>
          </w:p>
        </w:tc>
      </w:tr>
      <w:tr w14:paraId="548474DC">
        <w:tblPrEx>
          <w:tblCellMar>
            <w:top w:w="0" w:type="dxa"/>
            <w:left w:w="108" w:type="dxa"/>
            <w:bottom w:w="0" w:type="dxa"/>
            <w:right w:w="108" w:type="dxa"/>
          </w:tblCellMar>
        </w:tblPrEx>
        <w:trPr>
          <w:trHeight w:val="78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4CC716A1">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601335D4">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337CA338">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3</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4F63C415">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藤蔓植物</w:t>
            </w:r>
            <w:r>
              <w:rPr>
                <w:rFonts w:hint="eastAsia" w:ascii="宋体" w:hAnsi="宋体" w:cs="宋体"/>
                <w:kern w:val="0"/>
                <w:sz w:val="18"/>
                <w:szCs w:val="18"/>
              </w:rPr>
              <w:br w:type="textWrapping"/>
            </w:r>
            <w:r>
              <w:rPr>
                <w:rFonts w:hint="eastAsia" w:ascii="宋体" w:hAnsi="宋体" w:cs="宋体"/>
                <w:kern w:val="0"/>
                <w:sz w:val="18"/>
                <w:szCs w:val="18"/>
              </w:rPr>
              <w:t>修剪</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415B2DEB">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根据植株所处位置和其功能进行修剪，每月进行1-2次牵引，盘扎等工作，确保植物景观效果，并及时清理老藤、枯藤。</w:t>
            </w:r>
          </w:p>
        </w:tc>
      </w:tr>
      <w:tr w14:paraId="7424EBC3">
        <w:tblPrEx>
          <w:tblCellMar>
            <w:top w:w="0" w:type="dxa"/>
            <w:left w:w="108" w:type="dxa"/>
            <w:bottom w:w="0" w:type="dxa"/>
            <w:right w:w="108" w:type="dxa"/>
          </w:tblCellMar>
        </w:tblPrEx>
        <w:trPr>
          <w:trHeight w:val="54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708EFAA6">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18BD815C">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8171E6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4</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611AF736">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草坪</w:t>
            </w:r>
            <w:r>
              <w:rPr>
                <w:rFonts w:hint="eastAsia" w:ascii="宋体" w:hAnsi="宋体" w:cs="宋体"/>
                <w:kern w:val="0"/>
                <w:sz w:val="18"/>
                <w:szCs w:val="18"/>
              </w:rPr>
              <w:br w:type="textWrapping"/>
            </w:r>
            <w:r>
              <w:rPr>
                <w:rFonts w:hint="eastAsia" w:ascii="宋体" w:hAnsi="宋体" w:cs="宋体"/>
                <w:kern w:val="0"/>
                <w:sz w:val="18"/>
                <w:szCs w:val="18"/>
              </w:rPr>
              <w:t>修剪</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5F5AB7A">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根据生长情况每月进行2-3次修剪，确保景观效果</w:t>
            </w:r>
          </w:p>
        </w:tc>
      </w:tr>
      <w:tr w14:paraId="0C8A234B">
        <w:tblPrEx>
          <w:tblCellMar>
            <w:top w:w="0" w:type="dxa"/>
            <w:left w:w="108" w:type="dxa"/>
            <w:bottom w:w="0" w:type="dxa"/>
            <w:right w:w="108" w:type="dxa"/>
          </w:tblCellMar>
        </w:tblPrEx>
        <w:trPr>
          <w:trHeight w:val="555"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537BA4E3">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57ED9933">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B6D1020">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5</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1D68FB46">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机具</w:t>
            </w:r>
            <w:r>
              <w:rPr>
                <w:rFonts w:hint="eastAsia" w:ascii="宋体" w:hAnsi="宋体" w:cs="宋体"/>
                <w:kern w:val="0"/>
                <w:sz w:val="18"/>
                <w:szCs w:val="18"/>
              </w:rPr>
              <w:br w:type="textWrapping"/>
            </w:r>
            <w:r>
              <w:rPr>
                <w:rFonts w:hint="eastAsia" w:ascii="宋体" w:hAnsi="宋体" w:cs="宋体"/>
                <w:kern w:val="0"/>
                <w:sz w:val="18"/>
                <w:szCs w:val="18"/>
              </w:rPr>
              <w:t>要求</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7E99B7A">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花剪、长剪、高枝剪、割草机、绿篱机、脚手架、人字梯、高空作业车。</w:t>
            </w:r>
          </w:p>
        </w:tc>
      </w:tr>
      <w:tr w14:paraId="2804BC9C">
        <w:tblPrEx>
          <w:tblCellMar>
            <w:top w:w="0" w:type="dxa"/>
            <w:left w:w="108" w:type="dxa"/>
            <w:bottom w:w="0" w:type="dxa"/>
            <w:right w:w="108" w:type="dxa"/>
          </w:tblCellMar>
        </w:tblPrEx>
        <w:trPr>
          <w:trHeight w:val="69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0EC34E26">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3275A876">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105B9F9A">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6</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4E917E3F">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安全</w:t>
            </w:r>
            <w:r>
              <w:rPr>
                <w:rFonts w:hint="eastAsia" w:ascii="宋体" w:hAnsi="宋体" w:cs="宋体"/>
                <w:kern w:val="0"/>
                <w:sz w:val="18"/>
                <w:szCs w:val="18"/>
              </w:rPr>
              <w:br w:type="textWrapping"/>
            </w:r>
            <w:r>
              <w:rPr>
                <w:rFonts w:hint="eastAsia" w:ascii="宋体" w:hAnsi="宋体" w:cs="宋体"/>
                <w:kern w:val="0"/>
                <w:sz w:val="18"/>
                <w:szCs w:val="18"/>
              </w:rPr>
              <w:t>工作</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39B23973">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工作人员必须穿工作服，路边作业必须摆足够数量警示锥形桶（2米内1个），大树修剪必须拉警戒线，作业人员上树必须佩戴安全带。</w:t>
            </w:r>
          </w:p>
        </w:tc>
      </w:tr>
      <w:tr w14:paraId="0ABFEE17">
        <w:tblPrEx>
          <w:tblCellMar>
            <w:top w:w="0" w:type="dxa"/>
            <w:left w:w="108" w:type="dxa"/>
            <w:bottom w:w="0" w:type="dxa"/>
            <w:right w:w="108" w:type="dxa"/>
          </w:tblCellMar>
        </w:tblPrEx>
        <w:trPr>
          <w:trHeight w:val="540" w:hRule="atLeast"/>
        </w:trPr>
        <w:tc>
          <w:tcPr>
            <w:tcW w:w="351" w:type="dxa"/>
            <w:vMerge w:val="restart"/>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7E4F5F9F">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5</w:t>
            </w:r>
          </w:p>
        </w:tc>
        <w:tc>
          <w:tcPr>
            <w:tcW w:w="462"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43716C50">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施</w:t>
            </w:r>
            <w:r>
              <w:rPr>
                <w:rFonts w:hint="eastAsia" w:ascii="宋体" w:hAnsi="宋体" w:cs="宋体"/>
                <w:b/>
                <w:kern w:val="0"/>
                <w:sz w:val="18"/>
                <w:szCs w:val="18"/>
              </w:rPr>
              <w:br w:type="textWrapping"/>
            </w:r>
            <w:r>
              <w:rPr>
                <w:rFonts w:hint="eastAsia" w:ascii="宋体" w:hAnsi="宋体" w:cs="宋体"/>
                <w:b/>
                <w:kern w:val="0"/>
                <w:sz w:val="18"/>
                <w:szCs w:val="18"/>
              </w:rPr>
              <w:br w:type="textWrapping"/>
            </w:r>
            <w:r>
              <w:rPr>
                <w:rFonts w:hint="eastAsia" w:ascii="宋体" w:hAnsi="宋体" w:cs="宋体"/>
                <w:b/>
                <w:kern w:val="0"/>
                <w:sz w:val="18"/>
                <w:szCs w:val="18"/>
              </w:rPr>
              <w:br w:type="textWrapping"/>
            </w:r>
            <w:r>
              <w:rPr>
                <w:rFonts w:hint="eastAsia" w:ascii="宋体" w:hAnsi="宋体" w:cs="宋体"/>
                <w:b/>
                <w:kern w:val="0"/>
                <w:sz w:val="18"/>
                <w:szCs w:val="18"/>
              </w:rPr>
              <w:t>肥</w:t>
            </w: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0A87825">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1</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57A69EC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行道树</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A504EBA">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每年施肥2次，有树池盖的应将其揭开，将肥料施入并覆土。每株施肥不少于1.5斤。规格较大的行到树要采用穴或环状施肥，深度不小于40cm。</w:t>
            </w:r>
          </w:p>
        </w:tc>
      </w:tr>
      <w:tr w14:paraId="20F51359">
        <w:tblPrEx>
          <w:tblCellMar>
            <w:top w:w="0" w:type="dxa"/>
            <w:left w:w="108" w:type="dxa"/>
            <w:bottom w:w="0" w:type="dxa"/>
            <w:right w:w="108" w:type="dxa"/>
          </w:tblCellMar>
        </w:tblPrEx>
        <w:trPr>
          <w:trHeight w:val="57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5EEBB034">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54F5902A">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3AFF2D44">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2</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523FC58E">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乔木</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4AACBD9">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景观乔木和重点管护乔木每年施肥2次，施肥前进行打孔和排气处理，开花乔木开花前施花肥一次，花期过后追肥一次。</w:t>
            </w:r>
          </w:p>
        </w:tc>
      </w:tr>
      <w:tr w14:paraId="10AFD6F7">
        <w:tblPrEx>
          <w:tblCellMar>
            <w:top w:w="0" w:type="dxa"/>
            <w:left w:w="108" w:type="dxa"/>
            <w:bottom w:w="0" w:type="dxa"/>
            <w:right w:w="108" w:type="dxa"/>
          </w:tblCellMar>
        </w:tblPrEx>
        <w:trPr>
          <w:trHeight w:val="54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2A4C4078">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2FCEB58C">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415FCBAD">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3</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459C3FEB">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花灌木</w:t>
            </w:r>
            <w:r>
              <w:rPr>
                <w:rFonts w:hint="eastAsia" w:ascii="宋体" w:hAnsi="宋体" w:cs="宋体"/>
                <w:kern w:val="0"/>
                <w:sz w:val="18"/>
                <w:szCs w:val="18"/>
              </w:rPr>
              <w:br w:type="textWrapping"/>
            </w:r>
            <w:r>
              <w:rPr>
                <w:rFonts w:hint="eastAsia" w:ascii="宋体" w:hAnsi="宋体" w:cs="宋体"/>
                <w:kern w:val="0"/>
                <w:sz w:val="18"/>
                <w:szCs w:val="18"/>
              </w:rPr>
              <w:t>和地苗</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65A7DF4F">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每年春秋季各施肥1次，缺肥地段2-3次，施肥前进行打孔和排气处理。</w:t>
            </w:r>
          </w:p>
        </w:tc>
      </w:tr>
      <w:tr w14:paraId="5E8406A3">
        <w:tblPrEx>
          <w:tblCellMar>
            <w:top w:w="0" w:type="dxa"/>
            <w:left w:w="108" w:type="dxa"/>
            <w:bottom w:w="0" w:type="dxa"/>
            <w:right w:w="108" w:type="dxa"/>
          </w:tblCellMar>
        </w:tblPrEx>
        <w:trPr>
          <w:trHeight w:val="615"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0545A4BF">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1B388C06">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0269D85E">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4</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2EAF31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草坪</w:t>
            </w:r>
          </w:p>
        </w:tc>
        <w:tc>
          <w:tcPr>
            <w:tcW w:w="1596"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17E89B49">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每年施肥3-4次，每次每100平方米施尿素混复合肥3斤。</w:t>
            </w:r>
          </w:p>
        </w:tc>
        <w:tc>
          <w:tcPr>
            <w:tcW w:w="5242" w:type="dxa"/>
            <w:gridSpan w:val="2"/>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69BD898A">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每年施肥2-3次，每次每100平方米施尿素混复合肥3斤。</w:t>
            </w:r>
          </w:p>
        </w:tc>
      </w:tr>
      <w:tr w14:paraId="74D2DB92">
        <w:tblPrEx>
          <w:tblCellMar>
            <w:top w:w="0" w:type="dxa"/>
            <w:left w:w="108" w:type="dxa"/>
            <w:bottom w:w="0" w:type="dxa"/>
            <w:right w:w="108" w:type="dxa"/>
          </w:tblCellMar>
        </w:tblPrEx>
        <w:trPr>
          <w:trHeight w:val="555" w:hRule="atLeast"/>
        </w:trPr>
        <w:tc>
          <w:tcPr>
            <w:tcW w:w="351" w:type="dxa"/>
            <w:vMerge w:val="restart"/>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1BA5B1D3">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6</w:t>
            </w:r>
          </w:p>
        </w:tc>
        <w:tc>
          <w:tcPr>
            <w:tcW w:w="462"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0CD0AEE6">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病</w:t>
            </w:r>
            <w:r>
              <w:rPr>
                <w:rFonts w:hint="eastAsia" w:ascii="宋体" w:hAnsi="宋体" w:cs="宋体"/>
                <w:b/>
                <w:kern w:val="0"/>
                <w:sz w:val="18"/>
                <w:szCs w:val="18"/>
              </w:rPr>
              <w:br w:type="textWrapping"/>
            </w:r>
            <w:r>
              <w:rPr>
                <w:rFonts w:hint="eastAsia" w:ascii="宋体" w:hAnsi="宋体" w:cs="宋体"/>
                <w:b/>
                <w:kern w:val="0"/>
                <w:sz w:val="18"/>
                <w:szCs w:val="18"/>
              </w:rPr>
              <w:t>虫</w:t>
            </w:r>
            <w:r>
              <w:rPr>
                <w:rFonts w:hint="eastAsia" w:ascii="宋体" w:hAnsi="宋体" w:cs="宋体"/>
                <w:b/>
                <w:kern w:val="0"/>
                <w:sz w:val="18"/>
                <w:szCs w:val="18"/>
              </w:rPr>
              <w:br w:type="textWrapping"/>
            </w:r>
            <w:r>
              <w:rPr>
                <w:rFonts w:hint="eastAsia" w:ascii="宋体" w:hAnsi="宋体" w:cs="宋体"/>
                <w:b/>
                <w:kern w:val="0"/>
                <w:sz w:val="18"/>
                <w:szCs w:val="18"/>
              </w:rPr>
              <w:t>害</w:t>
            </w:r>
            <w:r>
              <w:rPr>
                <w:rFonts w:hint="eastAsia" w:ascii="宋体" w:hAnsi="宋体" w:cs="宋体"/>
                <w:b/>
                <w:kern w:val="0"/>
                <w:sz w:val="18"/>
                <w:szCs w:val="18"/>
              </w:rPr>
              <w:br w:type="textWrapping"/>
            </w:r>
            <w:r>
              <w:rPr>
                <w:rFonts w:hint="eastAsia" w:ascii="宋体" w:hAnsi="宋体" w:cs="宋体"/>
                <w:b/>
                <w:kern w:val="0"/>
                <w:sz w:val="18"/>
                <w:szCs w:val="18"/>
              </w:rPr>
              <w:t>防</w:t>
            </w:r>
            <w:r>
              <w:rPr>
                <w:rFonts w:hint="eastAsia" w:ascii="宋体" w:hAnsi="宋体" w:cs="宋体"/>
                <w:b/>
                <w:kern w:val="0"/>
                <w:sz w:val="18"/>
                <w:szCs w:val="18"/>
              </w:rPr>
              <w:br w:type="textWrapping"/>
            </w:r>
            <w:r>
              <w:rPr>
                <w:rFonts w:hint="eastAsia" w:ascii="宋体" w:hAnsi="宋体" w:cs="宋体"/>
                <w:b/>
                <w:kern w:val="0"/>
                <w:sz w:val="18"/>
                <w:szCs w:val="18"/>
              </w:rPr>
              <w:t>治</w:t>
            </w: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3C0904DD">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1</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064CDE94">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巡查</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1ABC318F">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每天进行病虫害巡查，及时预防，每周进行重点病虫害巡查，发现病虫害及时处置。</w:t>
            </w:r>
          </w:p>
        </w:tc>
      </w:tr>
      <w:tr w14:paraId="2C6A775A">
        <w:tblPrEx>
          <w:tblCellMar>
            <w:top w:w="0" w:type="dxa"/>
            <w:left w:w="108" w:type="dxa"/>
            <w:bottom w:w="0" w:type="dxa"/>
            <w:right w:w="108" w:type="dxa"/>
          </w:tblCellMar>
        </w:tblPrEx>
        <w:trPr>
          <w:trHeight w:val="75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3A51CB2D">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23AA76D5">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3C620064">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2</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DCB46E5">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防治目标</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55285E52">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整株病叶、病枝和残叶量不超过8%，整片绿化带病叶、病枝、残叶量不超过5%。无明显虫体，虫屎。</w:t>
            </w:r>
          </w:p>
        </w:tc>
      </w:tr>
      <w:tr w14:paraId="6D16E132">
        <w:tblPrEx>
          <w:tblCellMar>
            <w:top w:w="0" w:type="dxa"/>
            <w:left w:w="108" w:type="dxa"/>
            <w:bottom w:w="0" w:type="dxa"/>
            <w:right w:w="108" w:type="dxa"/>
          </w:tblCellMar>
        </w:tblPrEx>
        <w:trPr>
          <w:trHeight w:val="42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2473AE54">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333C718E">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59FF7BA3">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3</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8FF8346">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防治措施</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24CFDBA3">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结合春秋季树木修剪及时清理越冬虫蛹，秋季树干刷白。</w:t>
            </w:r>
          </w:p>
        </w:tc>
      </w:tr>
      <w:tr w14:paraId="2C520782">
        <w:tblPrEx>
          <w:tblCellMar>
            <w:top w:w="0" w:type="dxa"/>
            <w:left w:w="108" w:type="dxa"/>
            <w:bottom w:w="0" w:type="dxa"/>
            <w:right w:w="108" w:type="dxa"/>
          </w:tblCellMar>
        </w:tblPrEx>
        <w:trPr>
          <w:trHeight w:val="750"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18C98AD0">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7F0E9BE9">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563032AF">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4</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0E782B4">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安全工作</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489FE0F6">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工作人员必须穿着防护服，佩戴口罩等防护装备。打药范围外2m处拉警戒线，以免误伤行人。车辆打药时，上车作业的工作人员必须捆绑安全绳。</w:t>
            </w:r>
          </w:p>
        </w:tc>
      </w:tr>
      <w:tr w14:paraId="375CC9C4">
        <w:tblPrEx>
          <w:tblCellMar>
            <w:top w:w="0" w:type="dxa"/>
            <w:left w:w="108" w:type="dxa"/>
            <w:bottom w:w="0" w:type="dxa"/>
            <w:right w:w="108" w:type="dxa"/>
          </w:tblCellMar>
        </w:tblPrEx>
        <w:trPr>
          <w:trHeight w:val="750" w:hRule="atLeast"/>
        </w:trPr>
        <w:tc>
          <w:tcPr>
            <w:tcW w:w="351" w:type="dxa"/>
            <w:vMerge w:val="restart"/>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08AF758E">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7</w:t>
            </w:r>
          </w:p>
        </w:tc>
        <w:tc>
          <w:tcPr>
            <w:tcW w:w="462" w:type="dxa"/>
            <w:vMerge w:val="restart"/>
            <w:tcBorders>
              <w:top w:val="nil"/>
              <w:left w:val="nil"/>
              <w:bottom w:val="single" w:color="000000" w:sz="4" w:space="0"/>
              <w:right w:val="single" w:color="000000" w:sz="4" w:space="0"/>
            </w:tcBorders>
            <w:tcMar>
              <w:top w:w="15" w:type="dxa"/>
              <w:left w:w="15" w:type="dxa"/>
              <w:bottom w:w="15" w:type="dxa"/>
              <w:right w:w="15" w:type="dxa"/>
            </w:tcMar>
            <w:vAlign w:val="center"/>
          </w:tcPr>
          <w:p w14:paraId="3A66029B">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设</w:t>
            </w:r>
            <w:r>
              <w:rPr>
                <w:rFonts w:hint="eastAsia" w:ascii="宋体" w:hAnsi="宋体" w:cs="宋体"/>
                <w:b/>
                <w:kern w:val="0"/>
                <w:sz w:val="18"/>
                <w:szCs w:val="18"/>
              </w:rPr>
              <w:br w:type="textWrapping"/>
            </w:r>
            <w:r>
              <w:rPr>
                <w:rFonts w:hint="eastAsia" w:ascii="宋体" w:hAnsi="宋体" w:cs="宋体"/>
                <w:b/>
                <w:kern w:val="0"/>
                <w:sz w:val="18"/>
                <w:szCs w:val="18"/>
              </w:rPr>
              <w:t>施</w:t>
            </w:r>
            <w:r>
              <w:rPr>
                <w:rFonts w:hint="eastAsia" w:ascii="宋体" w:hAnsi="宋体" w:cs="宋体"/>
                <w:b/>
                <w:kern w:val="0"/>
                <w:sz w:val="18"/>
                <w:szCs w:val="18"/>
              </w:rPr>
              <w:br w:type="textWrapping"/>
            </w:r>
            <w:r>
              <w:rPr>
                <w:rFonts w:hint="eastAsia" w:ascii="宋体" w:hAnsi="宋体" w:cs="宋体"/>
                <w:b/>
                <w:kern w:val="0"/>
                <w:sz w:val="18"/>
                <w:szCs w:val="18"/>
              </w:rPr>
              <w:t>维</w:t>
            </w:r>
            <w:r>
              <w:rPr>
                <w:rFonts w:hint="eastAsia" w:ascii="宋体" w:hAnsi="宋体" w:cs="宋体"/>
                <w:b/>
                <w:kern w:val="0"/>
                <w:sz w:val="18"/>
                <w:szCs w:val="18"/>
              </w:rPr>
              <w:br w:type="textWrapping"/>
            </w:r>
            <w:r>
              <w:rPr>
                <w:rFonts w:hint="eastAsia" w:ascii="宋体" w:hAnsi="宋体" w:cs="宋体"/>
                <w:b/>
                <w:kern w:val="0"/>
                <w:sz w:val="18"/>
                <w:szCs w:val="18"/>
              </w:rPr>
              <w:t>护</w:t>
            </w: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17B2523E">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1</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00F16A84">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设施</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6A65308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绿化景点标志牌、指示牌、座椅、灯箱、庭院灯、栏杆、垃圾箱、路沿石、园路、园林小品等设施一旦发现损坏，一周内必须修复或更换。</w:t>
            </w:r>
          </w:p>
        </w:tc>
      </w:tr>
      <w:tr w14:paraId="5450DF35">
        <w:tblPrEx>
          <w:tblCellMar>
            <w:top w:w="0" w:type="dxa"/>
            <w:left w:w="108" w:type="dxa"/>
            <w:bottom w:w="0" w:type="dxa"/>
            <w:right w:w="108" w:type="dxa"/>
          </w:tblCellMar>
        </w:tblPrEx>
        <w:trPr>
          <w:trHeight w:val="375" w:hRule="atLeast"/>
        </w:trPr>
        <w:tc>
          <w:tcPr>
            <w:tcW w:w="351" w:type="dxa"/>
            <w:vMerge w:val="continue"/>
            <w:tcBorders>
              <w:top w:val="nil"/>
              <w:left w:val="single" w:color="000000" w:sz="12" w:space="0"/>
              <w:bottom w:val="single" w:color="000000" w:sz="4" w:space="0"/>
              <w:right w:val="single" w:color="000000" w:sz="4" w:space="0"/>
            </w:tcBorders>
            <w:tcMar>
              <w:top w:w="15" w:type="dxa"/>
              <w:left w:w="15" w:type="dxa"/>
              <w:bottom w:w="15" w:type="dxa"/>
              <w:right w:w="15" w:type="dxa"/>
            </w:tcMar>
            <w:vAlign w:val="center"/>
          </w:tcPr>
          <w:p w14:paraId="23E1D55A">
            <w:pPr>
              <w:spacing w:line="360" w:lineRule="auto"/>
              <w:rPr>
                <w:sz w:val="20"/>
                <w:szCs w:val="20"/>
              </w:rPr>
            </w:pPr>
          </w:p>
        </w:tc>
        <w:tc>
          <w:tcPr>
            <w:tcW w:w="462" w:type="dxa"/>
            <w:vMerge w:val="continue"/>
            <w:tcBorders>
              <w:top w:val="nil"/>
              <w:left w:val="nil"/>
              <w:bottom w:val="single" w:color="000000" w:sz="4" w:space="0"/>
              <w:right w:val="single" w:color="000000" w:sz="4" w:space="0"/>
            </w:tcBorders>
            <w:tcMar>
              <w:top w:w="15" w:type="dxa"/>
              <w:left w:w="15" w:type="dxa"/>
              <w:bottom w:w="15" w:type="dxa"/>
              <w:right w:w="15" w:type="dxa"/>
            </w:tcMar>
            <w:vAlign w:val="center"/>
          </w:tcPr>
          <w:p w14:paraId="6886C6F4">
            <w:pPr>
              <w:spacing w:line="360" w:lineRule="auto"/>
              <w:rPr>
                <w:sz w:val="20"/>
                <w:szCs w:val="20"/>
              </w:rPr>
            </w:pP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67444C57">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2</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7CE753FE">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涂漆</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2B50C53C">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需涂漆防护的设施每年维护一次</w:t>
            </w:r>
          </w:p>
        </w:tc>
      </w:tr>
      <w:tr w14:paraId="42807C47">
        <w:tblPrEx>
          <w:tblCellMar>
            <w:top w:w="0" w:type="dxa"/>
            <w:left w:w="108" w:type="dxa"/>
            <w:bottom w:w="0" w:type="dxa"/>
            <w:right w:w="108" w:type="dxa"/>
          </w:tblCellMar>
        </w:tblPrEx>
        <w:trPr>
          <w:trHeight w:val="660" w:hRule="atLeast"/>
        </w:trPr>
        <w:tc>
          <w:tcPr>
            <w:tcW w:w="351" w:type="dxa"/>
            <w:vMerge w:val="restart"/>
            <w:tcBorders>
              <w:top w:val="nil"/>
              <w:left w:val="single" w:color="000000" w:sz="12" w:space="0"/>
              <w:bottom w:val="single" w:color="000000" w:sz="12" w:space="0"/>
              <w:right w:val="single" w:color="000000" w:sz="4" w:space="0"/>
            </w:tcBorders>
            <w:tcMar>
              <w:top w:w="15" w:type="dxa"/>
              <w:left w:w="15" w:type="dxa"/>
              <w:bottom w:w="15" w:type="dxa"/>
              <w:right w:w="15" w:type="dxa"/>
            </w:tcMar>
            <w:vAlign w:val="center"/>
          </w:tcPr>
          <w:p w14:paraId="54D9E9D3">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8</w:t>
            </w:r>
          </w:p>
        </w:tc>
        <w:tc>
          <w:tcPr>
            <w:tcW w:w="462" w:type="dxa"/>
            <w:vMerge w:val="restart"/>
            <w:tcBorders>
              <w:top w:val="nil"/>
              <w:left w:val="nil"/>
              <w:bottom w:val="single" w:color="000000" w:sz="12" w:space="0"/>
              <w:right w:val="single" w:color="000000" w:sz="4" w:space="0"/>
            </w:tcBorders>
            <w:tcMar>
              <w:top w:w="15" w:type="dxa"/>
              <w:left w:w="15" w:type="dxa"/>
              <w:bottom w:w="15" w:type="dxa"/>
              <w:right w:w="15" w:type="dxa"/>
            </w:tcMar>
            <w:vAlign w:val="center"/>
          </w:tcPr>
          <w:p w14:paraId="7531B288">
            <w:pPr>
              <w:widowControl/>
              <w:spacing w:line="360" w:lineRule="auto"/>
              <w:jc w:val="center"/>
              <w:textAlignment w:val="center"/>
              <w:rPr>
                <w:rFonts w:ascii="宋体" w:hAnsi="宋体" w:cs="宋体"/>
                <w:b/>
                <w:sz w:val="18"/>
                <w:szCs w:val="18"/>
              </w:rPr>
            </w:pPr>
            <w:r>
              <w:rPr>
                <w:rFonts w:hint="eastAsia" w:ascii="宋体" w:hAnsi="宋体" w:cs="宋体"/>
                <w:b/>
                <w:kern w:val="0"/>
                <w:sz w:val="18"/>
                <w:szCs w:val="18"/>
              </w:rPr>
              <w:t>其</w:t>
            </w:r>
            <w:r>
              <w:rPr>
                <w:rFonts w:hint="eastAsia" w:ascii="宋体" w:hAnsi="宋体" w:cs="宋体"/>
                <w:b/>
                <w:kern w:val="0"/>
                <w:sz w:val="18"/>
                <w:szCs w:val="18"/>
              </w:rPr>
              <w:br w:type="textWrapping"/>
            </w:r>
            <w:r>
              <w:rPr>
                <w:rFonts w:hint="eastAsia" w:ascii="宋体" w:hAnsi="宋体" w:cs="宋体"/>
                <w:b/>
                <w:kern w:val="0"/>
                <w:sz w:val="18"/>
                <w:szCs w:val="18"/>
              </w:rPr>
              <w:br w:type="textWrapping"/>
            </w:r>
            <w:r>
              <w:rPr>
                <w:rFonts w:hint="eastAsia" w:ascii="宋体" w:hAnsi="宋体" w:cs="宋体"/>
                <w:b/>
                <w:kern w:val="0"/>
                <w:sz w:val="18"/>
                <w:szCs w:val="18"/>
              </w:rPr>
              <w:t>他</w:t>
            </w:r>
          </w:p>
        </w:tc>
        <w:tc>
          <w:tcPr>
            <w:tcW w:w="35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59E89621">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1</w:t>
            </w:r>
          </w:p>
        </w:tc>
        <w:tc>
          <w:tcPr>
            <w:tcW w:w="800" w:type="dxa"/>
            <w:tcBorders>
              <w:top w:val="single" w:color="000000" w:sz="4" w:space="0"/>
              <w:left w:val="nil"/>
              <w:bottom w:val="single" w:color="000000" w:sz="4" w:space="0"/>
              <w:right w:val="single" w:color="000000" w:sz="4" w:space="0"/>
            </w:tcBorders>
            <w:tcMar>
              <w:top w:w="15" w:type="dxa"/>
              <w:left w:w="15" w:type="dxa"/>
              <w:bottom w:w="15" w:type="dxa"/>
              <w:right w:w="15" w:type="dxa"/>
            </w:tcMar>
            <w:vAlign w:val="center"/>
          </w:tcPr>
          <w:p w14:paraId="2D0A0455">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应急抢险</w:t>
            </w:r>
          </w:p>
        </w:tc>
        <w:tc>
          <w:tcPr>
            <w:tcW w:w="6838" w:type="dxa"/>
            <w:gridSpan w:val="3"/>
            <w:tcBorders>
              <w:top w:val="single" w:color="000000" w:sz="4" w:space="0"/>
              <w:left w:val="nil"/>
              <w:bottom w:val="single" w:color="000000" w:sz="4" w:space="0"/>
              <w:right w:val="single" w:color="000000" w:sz="12" w:space="0"/>
            </w:tcBorders>
            <w:tcMar>
              <w:top w:w="15" w:type="dxa"/>
              <w:left w:w="15" w:type="dxa"/>
              <w:bottom w:w="15" w:type="dxa"/>
              <w:right w:w="15" w:type="dxa"/>
            </w:tcMar>
            <w:vAlign w:val="center"/>
          </w:tcPr>
          <w:p w14:paraId="6934CEF7">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甲方安排的紧急任务，乙方不得以任何理由拒绝并在限定时间内完成。当车祸等原因造成绿化损毁时，接通知后及时完成清楚工作，24校内完成恢复工作。</w:t>
            </w:r>
          </w:p>
        </w:tc>
      </w:tr>
      <w:tr w14:paraId="3A754C5A">
        <w:tblPrEx>
          <w:tblCellMar>
            <w:top w:w="0" w:type="dxa"/>
            <w:left w:w="108" w:type="dxa"/>
            <w:bottom w:w="0" w:type="dxa"/>
            <w:right w:w="108" w:type="dxa"/>
          </w:tblCellMar>
        </w:tblPrEx>
        <w:trPr>
          <w:trHeight w:val="750" w:hRule="atLeast"/>
        </w:trPr>
        <w:tc>
          <w:tcPr>
            <w:tcW w:w="351" w:type="dxa"/>
            <w:vMerge w:val="continue"/>
            <w:tcBorders>
              <w:top w:val="nil"/>
              <w:left w:val="single" w:color="000000" w:sz="12" w:space="0"/>
              <w:bottom w:val="single" w:color="000000" w:sz="12" w:space="0"/>
              <w:right w:val="single" w:color="000000" w:sz="4" w:space="0"/>
            </w:tcBorders>
            <w:tcMar>
              <w:top w:w="15" w:type="dxa"/>
              <w:left w:w="15" w:type="dxa"/>
              <w:bottom w:w="15" w:type="dxa"/>
              <w:right w:w="15" w:type="dxa"/>
            </w:tcMar>
            <w:vAlign w:val="center"/>
          </w:tcPr>
          <w:p w14:paraId="3103AFD8">
            <w:pPr>
              <w:spacing w:line="360" w:lineRule="auto"/>
              <w:rPr>
                <w:sz w:val="20"/>
                <w:szCs w:val="20"/>
              </w:rPr>
            </w:pPr>
          </w:p>
        </w:tc>
        <w:tc>
          <w:tcPr>
            <w:tcW w:w="462" w:type="dxa"/>
            <w:vMerge w:val="continue"/>
            <w:tcBorders>
              <w:top w:val="nil"/>
              <w:left w:val="nil"/>
              <w:bottom w:val="single" w:color="000000" w:sz="12" w:space="0"/>
              <w:right w:val="single" w:color="000000" w:sz="4" w:space="0"/>
            </w:tcBorders>
            <w:tcMar>
              <w:top w:w="15" w:type="dxa"/>
              <w:left w:w="15" w:type="dxa"/>
              <w:bottom w:w="15" w:type="dxa"/>
              <w:right w:w="15" w:type="dxa"/>
            </w:tcMar>
            <w:vAlign w:val="center"/>
          </w:tcPr>
          <w:p w14:paraId="5A0AC76A">
            <w:pPr>
              <w:spacing w:line="360" w:lineRule="auto"/>
              <w:rPr>
                <w:sz w:val="20"/>
                <w:szCs w:val="20"/>
              </w:rPr>
            </w:pPr>
          </w:p>
        </w:tc>
        <w:tc>
          <w:tcPr>
            <w:tcW w:w="350" w:type="dxa"/>
            <w:tcBorders>
              <w:top w:val="single" w:color="000000" w:sz="4" w:space="0"/>
              <w:left w:val="nil"/>
              <w:bottom w:val="single" w:color="000000" w:sz="12" w:space="0"/>
              <w:right w:val="single" w:color="000000" w:sz="4" w:space="0"/>
            </w:tcBorders>
            <w:tcMar>
              <w:top w:w="15" w:type="dxa"/>
              <w:left w:w="15" w:type="dxa"/>
              <w:bottom w:w="15" w:type="dxa"/>
              <w:right w:w="15" w:type="dxa"/>
            </w:tcMar>
            <w:vAlign w:val="center"/>
          </w:tcPr>
          <w:p w14:paraId="13254873">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2</w:t>
            </w:r>
          </w:p>
        </w:tc>
        <w:tc>
          <w:tcPr>
            <w:tcW w:w="800" w:type="dxa"/>
            <w:tcBorders>
              <w:top w:val="single" w:color="000000" w:sz="4" w:space="0"/>
              <w:left w:val="nil"/>
              <w:bottom w:val="single" w:color="000000" w:sz="12" w:space="0"/>
              <w:right w:val="single" w:color="000000" w:sz="4" w:space="0"/>
            </w:tcBorders>
            <w:tcMar>
              <w:top w:w="15" w:type="dxa"/>
              <w:left w:w="15" w:type="dxa"/>
              <w:bottom w:w="15" w:type="dxa"/>
              <w:right w:w="15" w:type="dxa"/>
            </w:tcMar>
            <w:vAlign w:val="center"/>
          </w:tcPr>
          <w:p w14:paraId="44F692BD">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资料</w:t>
            </w:r>
            <w:r>
              <w:rPr>
                <w:rFonts w:hint="eastAsia" w:ascii="宋体" w:hAnsi="宋体" w:cs="宋体"/>
                <w:kern w:val="0"/>
                <w:sz w:val="18"/>
                <w:szCs w:val="18"/>
              </w:rPr>
              <w:br w:type="textWrapping"/>
            </w:r>
            <w:r>
              <w:rPr>
                <w:rFonts w:hint="eastAsia" w:ascii="宋体" w:hAnsi="宋体" w:cs="宋体"/>
                <w:kern w:val="0"/>
                <w:sz w:val="18"/>
                <w:szCs w:val="18"/>
              </w:rPr>
              <w:t>管理</w:t>
            </w:r>
          </w:p>
        </w:tc>
        <w:tc>
          <w:tcPr>
            <w:tcW w:w="6838" w:type="dxa"/>
            <w:gridSpan w:val="3"/>
            <w:tcBorders>
              <w:top w:val="single" w:color="000000" w:sz="4" w:space="0"/>
              <w:left w:val="nil"/>
              <w:bottom w:val="single" w:color="000000" w:sz="12" w:space="0"/>
              <w:right w:val="single" w:color="000000" w:sz="12" w:space="0"/>
            </w:tcBorders>
            <w:tcMar>
              <w:top w:w="15" w:type="dxa"/>
              <w:left w:w="15" w:type="dxa"/>
              <w:bottom w:w="15" w:type="dxa"/>
              <w:right w:w="15" w:type="dxa"/>
            </w:tcMar>
            <w:vAlign w:val="center"/>
          </w:tcPr>
          <w:p w14:paraId="5A68AFC1">
            <w:pPr>
              <w:widowControl/>
              <w:spacing w:line="360" w:lineRule="auto"/>
              <w:jc w:val="center"/>
              <w:textAlignment w:val="center"/>
              <w:rPr>
                <w:rFonts w:ascii="宋体" w:hAnsi="宋体" w:cs="宋体"/>
                <w:sz w:val="18"/>
                <w:szCs w:val="18"/>
              </w:rPr>
            </w:pPr>
            <w:r>
              <w:rPr>
                <w:rFonts w:hint="eastAsia" w:ascii="宋体" w:hAnsi="宋体" w:cs="宋体"/>
                <w:kern w:val="0"/>
                <w:sz w:val="18"/>
                <w:szCs w:val="18"/>
              </w:rPr>
              <w:t>本路段资料建档（如有大树单独建档）。制定每周工作计划，做好资料收集，记录详实，内容具体，总结全面，每月将档案归档。</w:t>
            </w:r>
          </w:p>
        </w:tc>
      </w:tr>
    </w:tbl>
    <w:p w14:paraId="23684B62">
      <w:pPr>
        <w:spacing w:line="360" w:lineRule="auto"/>
        <w:sectPr>
          <w:pgSz w:w="11906" w:h="16838"/>
          <w:pgMar w:top="1247" w:right="1554" w:bottom="1247" w:left="1531" w:header="720" w:footer="720" w:gutter="0"/>
          <w:cols w:space="720" w:num="1"/>
          <w:docGrid w:type="lines" w:linePitch="312" w:charSpace="0"/>
        </w:sectPr>
      </w:pPr>
    </w:p>
    <w:p w14:paraId="3F47BF5F">
      <w:pPr>
        <w:spacing w:line="360" w:lineRule="auto"/>
        <w:rPr>
          <w:rFonts w:hAnsi="宋体"/>
          <w:b/>
          <w:spacing w:val="-2"/>
          <w:sz w:val="24"/>
        </w:rPr>
      </w:pPr>
      <w:r>
        <w:rPr>
          <w:rFonts w:hint="eastAsia" w:hAnsi="宋体"/>
          <w:b/>
          <w:spacing w:val="-2"/>
          <w:sz w:val="24"/>
        </w:rPr>
        <w:t>附件五</w:t>
      </w:r>
    </w:p>
    <w:p w14:paraId="2A44DAD2">
      <w:pPr>
        <w:snapToGrid w:val="0"/>
        <w:spacing w:line="360" w:lineRule="auto"/>
        <w:jc w:val="center"/>
        <w:rPr>
          <w:rFonts w:hAnsi="宋体"/>
          <w:b/>
          <w:spacing w:val="-2"/>
          <w:szCs w:val="21"/>
        </w:rPr>
      </w:pPr>
      <w:r>
        <w:rPr>
          <w:rFonts w:hint="eastAsia" w:hAnsi="宋体"/>
          <w:b/>
          <w:spacing w:val="-2"/>
          <w:szCs w:val="21"/>
        </w:rPr>
        <w:t>《九龙坡区市街绿化养护日常考核巡查机制》</w:t>
      </w:r>
    </w:p>
    <w:p w14:paraId="109390A7">
      <w:pPr>
        <w:snapToGrid w:val="0"/>
        <w:spacing w:line="360" w:lineRule="auto"/>
        <w:ind w:firstLine="412" w:firstLineChars="200"/>
        <w:rPr>
          <w:rFonts w:hAnsi="宋体"/>
          <w:spacing w:val="-2"/>
          <w:szCs w:val="21"/>
        </w:rPr>
      </w:pPr>
      <w:r>
        <w:rPr>
          <w:rFonts w:hint="eastAsia" w:hAnsi="宋体"/>
          <w:spacing w:val="-2"/>
          <w:szCs w:val="21"/>
        </w:rPr>
        <w:t>为进一步巩固我区城市园林绿化景观效果，提升管护水平，提高工作效率，完善对承包</w:t>
      </w:r>
      <w:r>
        <w:rPr>
          <w:rFonts w:hAnsi="宋体"/>
          <w:spacing w:val="-2"/>
          <w:szCs w:val="21"/>
        </w:rPr>
        <w:t>人</w:t>
      </w:r>
      <w:r>
        <w:rPr>
          <w:rFonts w:hint="eastAsia" w:hAnsi="宋体"/>
          <w:spacing w:val="-2"/>
          <w:szCs w:val="21"/>
        </w:rPr>
        <w:t>工作的监督力度，确保市街绿化存在问题能够及时、有效的处理，特制定本管理制度。</w:t>
      </w:r>
    </w:p>
    <w:p w14:paraId="117D4741">
      <w:pPr>
        <w:numPr>
          <w:ilvl w:val="0"/>
          <w:numId w:val="4"/>
        </w:numPr>
        <w:snapToGrid w:val="0"/>
        <w:spacing w:line="360" w:lineRule="auto"/>
        <w:ind w:left="0" w:firstLine="720"/>
        <w:rPr>
          <w:rFonts w:hAnsi="宋体"/>
          <w:spacing w:val="-2"/>
          <w:szCs w:val="21"/>
        </w:rPr>
      </w:pPr>
      <w:r>
        <w:rPr>
          <w:rFonts w:hint="eastAsia" w:hAnsi="宋体"/>
          <w:spacing w:val="-2"/>
          <w:szCs w:val="21"/>
        </w:rPr>
        <w:t>巡查人员对管辖范围坚持每日巡查，发现问题及时以电话形式与承包</w:t>
      </w:r>
      <w:r>
        <w:rPr>
          <w:rFonts w:hAnsi="宋体"/>
          <w:spacing w:val="-2"/>
          <w:szCs w:val="21"/>
        </w:rPr>
        <w:t>人</w:t>
      </w:r>
      <w:r>
        <w:rPr>
          <w:rFonts w:hint="eastAsia" w:hAnsi="宋体"/>
          <w:spacing w:val="-2"/>
          <w:szCs w:val="21"/>
        </w:rPr>
        <w:t>进行沟通，做好巡查记录和图片资料的收集。</w:t>
      </w:r>
    </w:p>
    <w:p w14:paraId="79D4763C">
      <w:pPr>
        <w:numPr>
          <w:ilvl w:val="0"/>
          <w:numId w:val="4"/>
        </w:numPr>
        <w:snapToGrid w:val="0"/>
        <w:spacing w:line="360" w:lineRule="auto"/>
        <w:ind w:left="0" w:firstLine="720"/>
        <w:rPr>
          <w:rFonts w:hAnsi="宋体"/>
          <w:spacing w:val="-2"/>
          <w:szCs w:val="21"/>
        </w:rPr>
      </w:pPr>
      <w:r>
        <w:rPr>
          <w:rFonts w:hint="eastAsia" w:hAnsi="宋体"/>
          <w:spacing w:val="-2"/>
          <w:szCs w:val="21"/>
        </w:rPr>
        <w:t>巡查人员对发现问题除以电话形式沟通外，于当天以邮件形式下达《整改通知书》通知相应的承包人，《整改通知书》内容包括巡查时间、整改地点、整改问题、整改时限、整改情况等。</w:t>
      </w:r>
    </w:p>
    <w:p w14:paraId="7443B750">
      <w:pPr>
        <w:numPr>
          <w:ilvl w:val="0"/>
          <w:numId w:val="4"/>
        </w:numPr>
        <w:snapToGrid w:val="0"/>
        <w:spacing w:line="360" w:lineRule="auto"/>
        <w:ind w:left="0" w:firstLine="720"/>
        <w:rPr>
          <w:rFonts w:hAnsi="宋体"/>
          <w:spacing w:val="-2"/>
          <w:szCs w:val="21"/>
        </w:rPr>
      </w:pPr>
      <w:r>
        <w:rPr>
          <w:rFonts w:hint="eastAsia" w:hAnsi="宋体"/>
          <w:spacing w:val="-2"/>
          <w:szCs w:val="21"/>
        </w:rPr>
        <w:t>要求承包人每日查收邮件，在收到《整改通知书》后，必须按照通知书中相关要求限时完成整改。</w:t>
      </w:r>
    </w:p>
    <w:p w14:paraId="799FA27A">
      <w:pPr>
        <w:numPr>
          <w:ilvl w:val="0"/>
          <w:numId w:val="4"/>
        </w:numPr>
        <w:snapToGrid w:val="0"/>
        <w:spacing w:line="360" w:lineRule="auto"/>
        <w:ind w:left="0" w:firstLine="720"/>
        <w:rPr>
          <w:rFonts w:hAnsi="宋体"/>
          <w:spacing w:val="-2"/>
          <w:szCs w:val="21"/>
        </w:rPr>
      </w:pPr>
      <w:r>
        <w:rPr>
          <w:rFonts w:hint="eastAsia" w:hAnsi="宋体"/>
          <w:spacing w:val="-2"/>
          <w:szCs w:val="21"/>
        </w:rPr>
        <w:t>承包人如不能按照要求完成整改，需在收到《整改通知书》后一日内以口头或书面形式向发包人工程部提出申请，在发包人工程部同意的情况下方能对整改要求进行调整。</w:t>
      </w:r>
    </w:p>
    <w:p w14:paraId="6CCDAB81">
      <w:pPr>
        <w:numPr>
          <w:ilvl w:val="0"/>
          <w:numId w:val="4"/>
        </w:numPr>
        <w:snapToGrid w:val="0"/>
        <w:spacing w:line="360" w:lineRule="auto"/>
        <w:ind w:left="0" w:firstLine="720"/>
        <w:rPr>
          <w:rFonts w:hAnsi="宋体"/>
          <w:spacing w:val="-2"/>
          <w:szCs w:val="21"/>
        </w:rPr>
      </w:pPr>
      <w:r>
        <w:rPr>
          <w:rFonts w:hint="eastAsia" w:hAnsi="宋体"/>
          <w:spacing w:val="-2"/>
          <w:szCs w:val="21"/>
        </w:rPr>
        <w:t>承包人未按照相关要求完成整改，从而影响该范围景观效果，对我单位经济和社会效益造成损失的，我单位将做出相应的经济处罚。</w:t>
      </w:r>
    </w:p>
    <w:p w14:paraId="00A09566">
      <w:pPr>
        <w:numPr>
          <w:ilvl w:val="0"/>
          <w:numId w:val="4"/>
        </w:numPr>
        <w:snapToGrid w:val="0"/>
        <w:spacing w:line="360" w:lineRule="auto"/>
        <w:ind w:left="0" w:firstLine="720"/>
        <w:rPr>
          <w:rFonts w:hAnsi="宋体"/>
          <w:spacing w:val="-2"/>
          <w:szCs w:val="21"/>
        </w:rPr>
      </w:pPr>
      <w:r>
        <w:rPr>
          <w:rFonts w:hint="eastAsia" w:hAnsi="宋体"/>
          <w:spacing w:val="-2"/>
          <w:szCs w:val="21"/>
        </w:rPr>
        <w:t>承包人在完成整改后需上传整改的相关资料，并对整改工作的具体情况做相应回复。如整改工作的相关数据，整改现场前后对比照片及整改现场的处理情况等。</w:t>
      </w:r>
    </w:p>
    <w:p w14:paraId="16802F11">
      <w:pPr>
        <w:snapToGrid w:val="0"/>
        <w:spacing w:line="360" w:lineRule="auto"/>
        <w:ind w:left="420"/>
        <w:rPr>
          <w:rFonts w:hAnsi="宋体"/>
          <w:spacing w:val="-2"/>
          <w:szCs w:val="21"/>
        </w:rPr>
      </w:pPr>
      <w:r>
        <w:rPr>
          <w:rFonts w:hint="eastAsia" w:hAnsi="宋体"/>
          <w:spacing w:val="-2"/>
          <w:szCs w:val="21"/>
        </w:rPr>
        <w:t>一：《日常巡查整改时限与经济处罚标准》</w:t>
      </w:r>
    </w:p>
    <w:p w14:paraId="3B5B6860">
      <w:pPr>
        <w:snapToGrid w:val="0"/>
        <w:spacing w:line="360" w:lineRule="auto"/>
        <w:ind w:left="420"/>
        <w:rPr>
          <w:rFonts w:hAnsi="宋体"/>
          <w:spacing w:val="-2"/>
          <w:szCs w:val="21"/>
        </w:rPr>
      </w:pPr>
      <w:r>
        <w:rPr>
          <w:rFonts w:hint="eastAsia" w:hAnsi="宋体"/>
          <w:spacing w:val="-2"/>
          <w:szCs w:val="21"/>
        </w:rPr>
        <w:t>二：《每日巡查记录表》</w:t>
      </w:r>
    </w:p>
    <w:p w14:paraId="6B127884">
      <w:pPr>
        <w:snapToGrid w:val="0"/>
        <w:spacing w:line="360" w:lineRule="auto"/>
        <w:ind w:left="420"/>
        <w:rPr>
          <w:rFonts w:hAnsi="宋体"/>
          <w:spacing w:val="-2"/>
          <w:sz w:val="24"/>
        </w:rPr>
      </w:pPr>
      <w:r>
        <w:rPr>
          <w:rFonts w:hint="eastAsia" w:hAnsi="宋体"/>
          <w:spacing w:val="-2"/>
          <w:szCs w:val="21"/>
        </w:rPr>
        <w:t>三：《整改通知书》</w:t>
      </w:r>
    </w:p>
    <w:p w14:paraId="17D0469F">
      <w:pPr>
        <w:snapToGrid w:val="0"/>
        <w:spacing w:line="360" w:lineRule="auto"/>
        <w:jc w:val="center"/>
        <w:rPr>
          <w:rFonts w:ascii="宋体" w:hAnsi="宋体" w:cs="宋体"/>
          <w:b/>
          <w:sz w:val="32"/>
          <w:szCs w:val="32"/>
        </w:rPr>
      </w:pPr>
      <w:r>
        <w:rPr>
          <w:rFonts w:hAnsi="宋体"/>
          <w:spacing w:val="-2"/>
          <w:sz w:val="24"/>
        </w:rPr>
        <w:br w:type="page"/>
      </w:r>
      <w:r>
        <w:rPr>
          <w:rFonts w:hint="eastAsia" w:ascii="宋体" w:hAnsi="宋体" w:cs="宋体"/>
          <w:b/>
          <w:sz w:val="32"/>
          <w:szCs w:val="32"/>
        </w:rPr>
        <w:t>日常巡查整改时限与经济处罚标准（试行稿）</w:t>
      </w:r>
    </w:p>
    <w:tbl>
      <w:tblPr>
        <w:tblStyle w:val="14"/>
        <w:tblW w:w="0" w:type="auto"/>
        <w:jc w:val="center"/>
        <w:tblLayout w:type="fixed"/>
        <w:tblCellMar>
          <w:top w:w="0" w:type="dxa"/>
          <w:left w:w="108" w:type="dxa"/>
          <w:bottom w:w="0" w:type="dxa"/>
          <w:right w:w="108" w:type="dxa"/>
        </w:tblCellMar>
      </w:tblPr>
      <w:tblGrid>
        <w:gridCol w:w="632"/>
        <w:gridCol w:w="599"/>
        <w:gridCol w:w="4979"/>
        <w:gridCol w:w="1340"/>
        <w:gridCol w:w="1499"/>
        <w:gridCol w:w="839"/>
      </w:tblGrid>
      <w:tr w14:paraId="6C517F09">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3402A2BB">
            <w:pPr>
              <w:spacing w:line="360" w:lineRule="auto"/>
              <w:jc w:val="center"/>
              <w:rPr>
                <w:rFonts w:ascii="宋体" w:hAnsi="宋体" w:cs="宋体"/>
                <w:szCs w:val="21"/>
              </w:rPr>
            </w:pPr>
            <w:r>
              <w:rPr>
                <w:rFonts w:hint="eastAsia" w:ascii="宋体" w:hAnsi="宋体" w:cs="宋体"/>
              </w:rPr>
              <w:t>序号</w:t>
            </w:r>
          </w:p>
        </w:tc>
        <w:tc>
          <w:tcPr>
            <w:tcW w:w="599" w:type="dxa"/>
            <w:tcBorders>
              <w:top w:val="single" w:color="auto" w:sz="4" w:space="0"/>
              <w:left w:val="nil"/>
              <w:bottom w:val="single" w:color="auto" w:sz="4" w:space="0"/>
              <w:right w:val="single" w:color="auto" w:sz="4" w:space="0"/>
            </w:tcBorders>
            <w:vAlign w:val="center"/>
          </w:tcPr>
          <w:p w14:paraId="6F69EC65">
            <w:pPr>
              <w:spacing w:line="360" w:lineRule="auto"/>
              <w:jc w:val="center"/>
              <w:rPr>
                <w:rFonts w:ascii="宋体" w:hAnsi="宋体" w:cs="宋体"/>
                <w:szCs w:val="21"/>
              </w:rPr>
            </w:pPr>
            <w:r>
              <w:rPr>
                <w:rFonts w:hint="eastAsia" w:ascii="宋体" w:hAnsi="宋体" w:cs="宋体"/>
              </w:rPr>
              <w:t>分类</w:t>
            </w:r>
          </w:p>
        </w:tc>
        <w:tc>
          <w:tcPr>
            <w:tcW w:w="4979" w:type="dxa"/>
            <w:tcBorders>
              <w:top w:val="single" w:color="auto" w:sz="4" w:space="0"/>
              <w:left w:val="nil"/>
              <w:bottom w:val="single" w:color="auto" w:sz="4" w:space="0"/>
              <w:right w:val="single" w:color="auto" w:sz="4" w:space="0"/>
            </w:tcBorders>
            <w:vAlign w:val="center"/>
          </w:tcPr>
          <w:p w14:paraId="101E7355">
            <w:pPr>
              <w:spacing w:line="360" w:lineRule="auto"/>
              <w:jc w:val="center"/>
              <w:rPr>
                <w:rFonts w:ascii="宋体" w:hAnsi="宋体" w:cs="宋体"/>
                <w:szCs w:val="21"/>
              </w:rPr>
            </w:pPr>
            <w:r>
              <w:rPr>
                <w:rFonts w:hint="eastAsia" w:ascii="宋体" w:hAnsi="宋体" w:cs="宋体"/>
              </w:rPr>
              <w:t>内容</w:t>
            </w:r>
          </w:p>
        </w:tc>
        <w:tc>
          <w:tcPr>
            <w:tcW w:w="1340" w:type="dxa"/>
            <w:tcBorders>
              <w:top w:val="single" w:color="auto" w:sz="4" w:space="0"/>
              <w:left w:val="nil"/>
              <w:bottom w:val="single" w:color="auto" w:sz="4" w:space="0"/>
              <w:right w:val="single" w:color="auto" w:sz="4" w:space="0"/>
            </w:tcBorders>
            <w:vAlign w:val="center"/>
          </w:tcPr>
          <w:p w14:paraId="60BE9876">
            <w:pPr>
              <w:spacing w:line="360" w:lineRule="auto"/>
              <w:jc w:val="center"/>
              <w:rPr>
                <w:rFonts w:ascii="宋体" w:hAnsi="宋体" w:cs="宋体"/>
                <w:szCs w:val="21"/>
              </w:rPr>
            </w:pPr>
            <w:r>
              <w:rPr>
                <w:rFonts w:hint="eastAsia" w:ascii="宋体" w:hAnsi="宋体" w:cs="宋体"/>
              </w:rPr>
              <w:t>整改时限</w:t>
            </w:r>
          </w:p>
          <w:p w14:paraId="24D1FF26">
            <w:pPr>
              <w:spacing w:line="360" w:lineRule="auto"/>
              <w:jc w:val="center"/>
              <w:rPr>
                <w:rFonts w:ascii="宋体" w:hAnsi="宋体" w:cs="宋体"/>
                <w:szCs w:val="21"/>
              </w:rPr>
            </w:pPr>
            <w:r>
              <w:rPr>
                <w:rFonts w:hint="eastAsia" w:ascii="宋体" w:hAnsi="宋体" w:cs="宋体"/>
              </w:rPr>
              <w:t>（小时）</w:t>
            </w:r>
          </w:p>
        </w:tc>
        <w:tc>
          <w:tcPr>
            <w:tcW w:w="1499" w:type="dxa"/>
            <w:tcBorders>
              <w:top w:val="single" w:color="auto" w:sz="4" w:space="0"/>
              <w:left w:val="nil"/>
              <w:bottom w:val="single" w:color="auto" w:sz="4" w:space="0"/>
              <w:right w:val="single" w:color="auto" w:sz="4" w:space="0"/>
            </w:tcBorders>
            <w:vAlign w:val="center"/>
          </w:tcPr>
          <w:p w14:paraId="34978C14">
            <w:pPr>
              <w:spacing w:line="360" w:lineRule="auto"/>
              <w:jc w:val="center"/>
              <w:rPr>
                <w:rFonts w:ascii="宋体" w:hAnsi="宋体" w:cs="宋体"/>
                <w:szCs w:val="21"/>
              </w:rPr>
            </w:pPr>
            <w:r>
              <w:rPr>
                <w:rFonts w:hint="eastAsia" w:ascii="宋体" w:hAnsi="宋体" w:cs="宋体"/>
              </w:rPr>
              <w:t>处罚标准（元）</w:t>
            </w:r>
          </w:p>
        </w:tc>
        <w:tc>
          <w:tcPr>
            <w:tcW w:w="839" w:type="dxa"/>
            <w:tcBorders>
              <w:top w:val="single" w:color="auto" w:sz="4" w:space="0"/>
              <w:left w:val="nil"/>
              <w:bottom w:val="single" w:color="auto" w:sz="4" w:space="0"/>
              <w:right w:val="single" w:color="auto" w:sz="4" w:space="0"/>
            </w:tcBorders>
            <w:vAlign w:val="center"/>
          </w:tcPr>
          <w:p w14:paraId="372C86BF">
            <w:pPr>
              <w:spacing w:line="360" w:lineRule="auto"/>
              <w:jc w:val="center"/>
              <w:rPr>
                <w:rFonts w:ascii="宋体" w:hAnsi="宋体" w:cs="宋体"/>
                <w:szCs w:val="21"/>
              </w:rPr>
            </w:pPr>
            <w:r>
              <w:rPr>
                <w:rFonts w:hint="eastAsia" w:ascii="宋体" w:hAnsi="宋体" w:cs="宋体"/>
              </w:rPr>
              <w:t>备注</w:t>
            </w:r>
          </w:p>
        </w:tc>
      </w:tr>
      <w:tr w14:paraId="50CD8108">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7A8A3469">
            <w:pPr>
              <w:spacing w:line="360" w:lineRule="auto"/>
              <w:jc w:val="center"/>
              <w:rPr>
                <w:rFonts w:ascii="宋体" w:hAnsi="宋体" w:cs="宋体"/>
                <w:szCs w:val="21"/>
              </w:rPr>
            </w:pPr>
            <w:r>
              <w:rPr>
                <w:rFonts w:hint="eastAsia" w:ascii="宋体" w:hAnsi="宋体" w:cs="宋体"/>
              </w:rPr>
              <w:t>1</w:t>
            </w:r>
          </w:p>
        </w:tc>
        <w:tc>
          <w:tcPr>
            <w:tcW w:w="599" w:type="dxa"/>
            <w:tcBorders>
              <w:top w:val="single" w:color="auto" w:sz="4" w:space="0"/>
              <w:left w:val="nil"/>
              <w:bottom w:val="single" w:color="auto" w:sz="4" w:space="0"/>
              <w:right w:val="single" w:color="auto" w:sz="4" w:space="0"/>
            </w:tcBorders>
            <w:vAlign w:val="center"/>
          </w:tcPr>
          <w:p w14:paraId="4C780A53">
            <w:pPr>
              <w:spacing w:line="360" w:lineRule="auto"/>
              <w:jc w:val="center"/>
              <w:rPr>
                <w:rFonts w:ascii="宋体" w:hAnsi="宋体" w:cs="宋体"/>
                <w:szCs w:val="21"/>
              </w:rPr>
            </w:pPr>
          </w:p>
        </w:tc>
        <w:tc>
          <w:tcPr>
            <w:tcW w:w="4979" w:type="dxa"/>
            <w:tcBorders>
              <w:top w:val="single" w:color="auto" w:sz="4" w:space="0"/>
              <w:left w:val="nil"/>
              <w:bottom w:val="single" w:color="auto" w:sz="4" w:space="0"/>
              <w:right w:val="single" w:color="auto" w:sz="4" w:space="0"/>
            </w:tcBorders>
            <w:vAlign w:val="center"/>
          </w:tcPr>
          <w:p w14:paraId="1F90EBF8">
            <w:pPr>
              <w:snapToGrid w:val="0"/>
              <w:spacing w:line="360" w:lineRule="auto"/>
              <w:rPr>
                <w:rFonts w:ascii="宋体" w:hAnsi="宋体" w:cs="宋体"/>
                <w:szCs w:val="21"/>
              </w:rPr>
            </w:pPr>
            <w:r>
              <w:rPr>
                <w:rFonts w:hint="eastAsia" w:ascii="宋体" w:hAnsi="宋体" w:cs="宋体"/>
              </w:rPr>
              <w:t>植物上有</w:t>
            </w:r>
            <w:r>
              <w:rPr>
                <w:rFonts w:hint="eastAsia" w:ascii="宋体" w:hAnsi="宋体" w:cs="宋体"/>
                <w:kern w:val="0"/>
              </w:rPr>
              <w:t>悬挂物、捆绑物及钉物</w:t>
            </w:r>
          </w:p>
        </w:tc>
        <w:tc>
          <w:tcPr>
            <w:tcW w:w="1340" w:type="dxa"/>
            <w:tcBorders>
              <w:top w:val="single" w:color="auto" w:sz="4" w:space="0"/>
              <w:left w:val="nil"/>
              <w:bottom w:val="single" w:color="auto" w:sz="4" w:space="0"/>
              <w:right w:val="single" w:color="auto" w:sz="4" w:space="0"/>
            </w:tcBorders>
            <w:vAlign w:val="center"/>
          </w:tcPr>
          <w:p w14:paraId="72335807">
            <w:pPr>
              <w:spacing w:line="360" w:lineRule="auto"/>
              <w:jc w:val="center"/>
              <w:rPr>
                <w:rFonts w:ascii="宋体" w:hAnsi="宋体" w:cs="宋体"/>
                <w:szCs w:val="21"/>
              </w:rPr>
            </w:pPr>
            <w:r>
              <w:rPr>
                <w:rFonts w:hint="eastAsia" w:ascii="宋体" w:hAnsi="宋体" w:cs="宋体"/>
              </w:rPr>
              <w:t>3</w:t>
            </w:r>
          </w:p>
        </w:tc>
        <w:tc>
          <w:tcPr>
            <w:tcW w:w="1499" w:type="dxa"/>
            <w:tcBorders>
              <w:top w:val="single" w:color="auto" w:sz="4" w:space="0"/>
              <w:left w:val="nil"/>
              <w:bottom w:val="single" w:color="auto" w:sz="4" w:space="0"/>
              <w:right w:val="single" w:color="auto" w:sz="4" w:space="0"/>
            </w:tcBorders>
            <w:vAlign w:val="center"/>
          </w:tcPr>
          <w:p w14:paraId="477411DB">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4CE8CDBE">
            <w:pPr>
              <w:spacing w:line="360" w:lineRule="auto"/>
              <w:jc w:val="center"/>
              <w:rPr>
                <w:rFonts w:ascii="宋体" w:hAnsi="宋体" w:cs="宋体"/>
                <w:szCs w:val="21"/>
              </w:rPr>
            </w:pPr>
          </w:p>
        </w:tc>
      </w:tr>
      <w:tr w14:paraId="43BF7B52">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6E7FDE7E">
            <w:pPr>
              <w:spacing w:line="360" w:lineRule="auto"/>
              <w:jc w:val="center"/>
              <w:rPr>
                <w:rFonts w:ascii="宋体" w:hAnsi="宋体" w:cs="宋体"/>
                <w:szCs w:val="21"/>
              </w:rPr>
            </w:pPr>
            <w:r>
              <w:rPr>
                <w:rFonts w:hint="eastAsia" w:ascii="宋体" w:hAnsi="宋体" w:cs="宋体"/>
              </w:rPr>
              <w:t>2</w:t>
            </w:r>
          </w:p>
        </w:tc>
        <w:tc>
          <w:tcPr>
            <w:tcW w:w="599" w:type="dxa"/>
            <w:vMerge w:val="restart"/>
            <w:tcBorders>
              <w:top w:val="nil"/>
              <w:left w:val="nil"/>
              <w:bottom w:val="single" w:color="auto" w:sz="4" w:space="0"/>
              <w:right w:val="single" w:color="auto" w:sz="4" w:space="0"/>
            </w:tcBorders>
            <w:vAlign w:val="center"/>
          </w:tcPr>
          <w:p w14:paraId="6E2A50C9">
            <w:pPr>
              <w:spacing w:line="360" w:lineRule="auto"/>
              <w:jc w:val="center"/>
              <w:rPr>
                <w:rFonts w:ascii="宋体" w:hAnsi="宋体" w:cs="宋体"/>
                <w:b/>
                <w:szCs w:val="21"/>
              </w:rPr>
            </w:pPr>
            <w:r>
              <w:rPr>
                <w:rFonts w:hint="eastAsia" w:ascii="宋体" w:hAnsi="宋体" w:cs="宋体"/>
                <w:b/>
              </w:rPr>
              <w:t>绿化景观</w:t>
            </w:r>
          </w:p>
        </w:tc>
        <w:tc>
          <w:tcPr>
            <w:tcW w:w="4979" w:type="dxa"/>
            <w:tcBorders>
              <w:top w:val="single" w:color="auto" w:sz="4" w:space="0"/>
              <w:left w:val="nil"/>
              <w:bottom w:val="single" w:color="auto" w:sz="4" w:space="0"/>
              <w:right w:val="single" w:color="auto" w:sz="4" w:space="0"/>
            </w:tcBorders>
          </w:tcPr>
          <w:p w14:paraId="71C13FAE">
            <w:pPr>
              <w:snapToGrid w:val="0"/>
              <w:spacing w:line="360" w:lineRule="auto"/>
              <w:rPr>
                <w:rFonts w:ascii="宋体" w:hAnsi="宋体" w:cs="宋体"/>
                <w:szCs w:val="21"/>
              </w:rPr>
            </w:pPr>
            <w:r>
              <w:rPr>
                <w:rFonts w:hint="eastAsia" w:ascii="宋体" w:hAnsi="宋体" w:cs="宋体"/>
              </w:rPr>
              <w:t>乔木</w:t>
            </w:r>
            <w:r>
              <w:rPr>
                <w:rFonts w:hint="eastAsia" w:ascii="宋体" w:hAnsi="宋体" w:cs="宋体"/>
                <w:kern w:val="0"/>
              </w:rPr>
              <w:t>缺株</w:t>
            </w:r>
          </w:p>
        </w:tc>
        <w:tc>
          <w:tcPr>
            <w:tcW w:w="1340" w:type="dxa"/>
            <w:tcBorders>
              <w:top w:val="single" w:color="auto" w:sz="4" w:space="0"/>
              <w:left w:val="nil"/>
              <w:bottom w:val="single" w:color="auto" w:sz="4" w:space="0"/>
              <w:right w:val="single" w:color="auto" w:sz="4" w:space="0"/>
            </w:tcBorders>
            <w:vAlign w:val="center"/>
          </w:tcPr>
          <w:p w14:paraId="6C2AFC4B">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1FD1DAE7">
            <w:pPr>
              <w:spacing w:line="360" w:lineRule="auto"/>
              <w:jc w:val="center"/>
              <w:rPr>
                <w:rFonts w:ascii="宋体" w:hAnsi="宋体" w:cs="宋体"/>
                <w:szCs w:val="21"/>
              </w:rPr>
            </w:pPr>
            <w:r>
              <w:rPr>
                <w:rFonts w:hint="eastAsia" w:ascii="宋体" w:hAnsi="宋体" w:cs="宋体"/>
              </w:rPr>
              <w:t>100</w:t>
            </w:r>
          </w:p>
        </w:tc>
        <w:tc>
          <w:tcPr>
            <w:tcW w:w="839" w:type="dxa"/>
            <w:tcBorders>
              <w:top w:val="single" w:color="auto" w:sz="4" w:space="0"/>
              <w:left w:val="nil"/>
              <w:bottom w:val="single" w:color="auto" w:sz="4" w:space="0"/>
              <w:right w:val="single" w:color="auto" w:sz="4" w:space="0"/>
            </w:tcBorders>
            <w:vAlign w:val="center"/>
          </w:tcPr>
          <w:p w14:paraId="0B4EC8AF">
            <w:pPr>
              <w:spacing w:line="360" w:lineRule="auto"/>
              <w:jc w:val="center"/>
              <w:rPr>
                <w:rFonts w:ascii="宋体" w:hAnsi="宋体" w:cs="宋体"/>
                <w:szCs w:val="21"/>
              </w:rPr>
            </w:pPr>
          </w:p>
        </w:tc>
      </w:tr>
      <w:tr w14:paraId="6603D978">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5A26FAC3">
            <w:pPr>
              <w:spacing w:line="360" w:lineRule="auto"/>
              <w:jc w:val="center"/>
              <w:rPr>
                <w:rFonts w:ascii="宋体" w:hAnsi="宋体" w:cs="宋体"/>
                <w:szCs w:val="21"/>
              </w:rPr>
            </w:pPr>
            <w:r>
              <w:rPr>
                <w:rFonts w:hint="eastAsia" w:ascii="宋体" w:hAnsi="宋体" w:cs="宋体"/>
              </w:rPr>
              <w:t>3</w:t>
            </w:r>
          </w:p>
        </w:tc>
        <w:tc>
          <w:tcPr>
            <w:tcW w:w="599" w:type="dxa"/>
            <w:vMerge w:val="continue"/>
            <w:tcBorders>
              <w:top w:val="nil"/>
              <w:left w:val="nil"/>
              <w:bottom w:val="single" w:color="auto" w:sz="4" w:space="0"/>
              <w:right w:val="single" w:color="auto" w:sz="4" w:space="0"/>
            </w:tcBorders>
            <w:vAlign w:val="center"/>
          </w:tcPr>
          <w:p w14:paraId="1D520C0D">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01C7F697">
            <w:pPr>
              <w:snapToGrid w:val="0"/>
              <w:spacing w:line="360" w:lineRule="auto"/>
              <w:rPr>
                <w:rFonts w:ascii="宋体" w:hAnsi="宋体" w:cs="宋体"/>
                <w:szCs w:val="21"/>
              </w:rPr>
            </w:pPr>
            <w:r>
              <w:rPr>
                <w:rFonts w:hint="eastAsia" w:ascii="宋体" w:hAnsi="宋体" w:cs="宋体"/>
                <w:kern w:val="0"/>
              </w:rPr>
              <w:t>乔木有倾斜歪倒现象、有断枝枯枝</w:t>
            </w:r>
          </w:p>
        </w:tc>
        <w:tc>
          <w:tcPr>
            <w:tcW w:w="1340" w:type="dxa"/>
            <w:tcBorders>
              <w:top w:val="single" w:color="auto" w:sz="4" w:space="0"/>
              <w:left w:val="nil"/>
              <w:bottom w:val="single" w:color="auto" w:sz="4" w:space="0"/>
              <w:right w:val="single" w:color="auto" w:sz="4" w:space="0"/>
            </w:tcBorders>
            <w:vAlign w:val="center"/>
          </w:tcPr>
          <w:p w14:paraId="459CD450">
            <w:pPr>
              <w:spacing w:line="360" w:lineRule="auto"/>
              <w:jc w:val="center"/>
              <w:rPr>
                <w:rFonts w:ascii="宋体" w:hAnsi="宋体" w:cs="宋体"/>
                <w:szCs w:val="21"/>
              </w:rPr>
            </w:pPr>
            <w:r>
              <w:rPr>
                <w:rFonts w:hint="eastAsia" w:ascii="宋体" w:hAnsi="宋体" w:cs="宋体"/>
              </w:rPr>
              <w:t>3</w:t>
            </w:r>
          </w:p>
        </w:tc>
        <w:tc>
          <w:tcPr>
            <w:tcW w:w="1499" w:type="dxa"/>
            <w:tcBorders>
              <w:top w:val="single" w:color="auto" w:sz="4" w:space="0"/>
              <w:left w:val="nil"/>
              <w:bottom w:val="single" w:color="auto" w:sz="4" w:space="0"/>
              <w:right w:val="single" w:color="auto" w:sz="4" w:space="0"/>
            </w:tcBorders>
            <w:vAlign w:val="center"/>
          </w:tcPr>
          <w:p w14:paraId="72377401">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119AADB3">
            <w:pPr>
              <w:spacing w:line="360" w:lineRule="auto"/>
              <w:jc w:val="center"/>
              <w:rPr>
                <w:rFonts w:ascii="宋体" w:hAnsi="宋体" w:cs="宋体"/>
                <w:szCs w:val="21"/>
              </w:rPr>
            </w:pPr>
          </w:p>
        </w:tc>
      </w:tr>
      <w:tr w14:paraId="19E1FB94">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18B07A8B">
            <w:pPr>
              <w:spacing w:line="360" w:lineRule="auto"/>
              <w:jc w:val="center"/>
              <w:rPr>
                <w:rFonts w:ascii="宋体" w:hAnsi="宋体" w:cs="宋体"/>
                <w:szCs w:val="21"/>
              </w:rPr>
            </w:pPr>
            <w:r>
              <w:rPr>
                <w:rFonts w:hint="eastAsia" w:ascii="宋体" w:hAnsi="宋体" w:cs="宋体"/>
              </w:rPr>
              <w:t>4</w:t>
            </w:r>
          </w:p>
        </w:tc>
        <w:tc>
          <w:tcPr>
            <w:tcW w:w="599" w:type="dxa"/>
            <w:vMerge w:val="continue"/>
            <w:tcBorders>
              <w:top w:val="nil"/>
              <w:left w:val="nil"/>
              <w:bottom w:val="single" w:color="auto" w:sz="4" w:space="0"/>
              <w:right w:val="single" w:color="auto" w:sz="4" w:space="0"/>
            </w:tcBorders>
            <w:vAlign w:val="center"/>
          </w:tcPr>
          <w:p w14:paraId="6FD3493C">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6DC9FE91">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灌木（包括花灌木）</w:t>
            </w:r>
            <w:r>
              <w:rPr>
                <w:rFonts w:hint="eastAsia" w:ascii="宋体" w:hAnsi="宋体" w:cs="宋体"/>
              </w:rPr>
              <w:t>有死株、</w:t>
            </w:r>
            <w:r>
              <w:rPr>
                <w:rFonts w:hint="eastAsia" w:ascii="宋体" w:hAnsi="宋体" w:cs="宋体"/>
                <w:kern w:val="0"/>
              </w:rPr>
              <w:t>缺株</w:t>
            </w:r>
          </w:p>
        </w:tc>
        <w:tc>
          <w:tcPr>
            <w:tcW w:w="1340" w:type="dxa"/>
            <w:tcBorders>
              <w:top w:val="single" w:color="auto" w:sz="4" w:space="0"/>
              <w:left w:val="nil"/>
              <w:bottom w:val="single" w:color="auto" w:sz="4" w:space="0"/>
              <w:right w:val="single" w:color="auto" w:sz="4" w:space="0"/>
            </w:tcBorders>
            <w:vAlign w:val="center"/>
          </w:tcPr>
          <w:p w14:paraId="5CF9308C">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0F3DEED9">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62B2557A">
            <w:pPr>
              <w:spacing w:line="360" w:lineRule="auto"/>
              <w:jc w:val="center"/>
              <w:rPr>
                <w:rFonts w:ascii="宋体" w:hAnsi="宋体" w:cs="宋体"/>
                <w:szCs w:val="21"/>
              </w:rPr>
            </w:pPr>
          </w:p>
        </w:tc>
      </w:tr>
      <w:tr w14:paraId="0538B167">
        <w:tblPrEx>
          <w:tblCellMar>
            <w:top w:w="0" w:type="dxa"/>
            <w:left w:w="108" w:type="dxa"/>
            <w:bottom w:w="0" w:type="dxa"/>
            <w:right w:w="108" w:type="dxa"/>
          </w:tblCellMar>
        </w:tblPrEx>
        <w:trPr>
          <w:trHeight w:val="90" w:hRule="atLeast"/>
          <w:jc w:val="center"/>
        </w:trPr>
        <w:tc>
          <w:tcPr>
            <w:tcW w:w="632" w:type="dxa"/>
            <w:tcBorders>
              <w:top w:val="single" w:color="auto" w:sz="4" w:space="0"/>
              <w:left w:val="single" w:color="auto" w:sz="4" w:space="0"/>
              <w:bottom w:val="single" w:color="auto" w:sz="4" w:space="0"/>
              <w:right w:val="single" w:color="auto" w:sz="4" w:space="0"/>
            </w:tcBorders>
            <w:vAlign w:val="center"/>
          </w:tcPr>
          <w:p w14:paraId="5E3FDBF9">
            <w:pPr>
              <w:spacing w:line="360" w:lineRule="auto"/>
              <w:jc w:val="center"/>
              <w:rPr>
                <w:rFonts w:ascii="宋体" w:hAnsi="宋体" w:cs="宋体"/>
                <w:szCs w:val="21"/>
              </w:rPr>
            </w:pPr>
            <w:r>
              <w:rPr>
                <w:rFonts w:hint="eastAsia" w:ascii="宋体" w:hAnsi="宋体" w:cs="宋体"/>
              </w:rPr>
              <w:t>5</w:t>
            </w:r>
          </w:p>
        </w:tc>
        <w:tc>
          <w:tcPr>
            <w:tcW w:w="599" w:type="dxa"/>
            <w:vMerge w:val="continue"/>
            <w:tcBorders>
              <w:top w:val="nil"/>
              <w:left w:val="nil"/>
              <w:bottom w:val="single" w:color="auto" w:sz="4" w:space="0"/>
              <w:right w:val="single" w:color="auto" w:sz="4" w:space="0"/>
            </w:tcBorders>
            <w:vAlign w:val="center"/>
          </w:tcPr>
          <w:p w14:paraId="104AAFF3">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790F4D2B">
            <w:pPr>
              <w:snapToGrid w:val="0"/>
              <w:spacing w:line="360" w:lineRule="auto"/>
              <w:rPr>
                <w:rFonts w:ascii="宋体" w:hAnsi="宋体" w:cs="宋体"/>
                <w:szCs w:val="21"/>
              </w:rPr>
            </w:pPr>
            <w:r>
              <w:rPr>
                <w:rFonts w:hint="eastAsia" w:ascii="宋体" w:hAnsi="宋体" w:cs="宋体"/>
                <w:kern w:val="0"/>
              </w:rPr>
              <w:t>绿篱有缺株、断带</w:t>
            </w:r>
          </w:p>
        </w:tc>
        <w:tc>
          <w:tcPr>
            <w:tcW w:w="1340" w:type="dxa"/>
            <w:tcBorders>
              <w:top w:val="single" w:color="auto" w:sz="4" w:space="0"/>
              <w:left w:val="nil"/>
              <w:bottom w:val="single" w:color="auto" w:sz="4" w:space="0"/>
              <w:right w:val="single" w:color="auto" w:sz="4" w:space="0"/>
            </w:tcBorders>
            <w:vAlign w:val="center"/>
          </w:tcPr>
          <w:p w14:paraId="7A30CC38">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3FDAC468">
            <w:pPr>
              <w:spacing w:line="360" w:lineRule="auto"/>
              <w:jc w:val="center"/>
              <w:rPr>
                <w:rFonts w:ascii="宋体" w:hAnsi="宋体" w:cs="宋体"/>
                <w:szCs w:val="21"/>
              </w:rPr>
            </w:pPr>
            <w:r>
              <w:rPr>
                <w:rFonts w:hint="eastAsia" w:ascii="宋体" w:hAnsi="宋体" w:cs="宋体"/>
              </w:rPr>
              <w:t>40</w:t>
            </w:r>
          </w:p>
        </w:tc>
        <w:tc>
          <w:tcPr>
            <w:tcW w:w="839" w:type="dxa"/>
            <w:tcBorders>
              <w:top w:val="single" w:color="auto" w:sz="4" w:space="0"/>
              <w:left w:val="nil"/>
              <w:bottom w:val="single" w:color="auto" w:sz="4" w:space="0"/>
              <w:right w:val="single" w:color="auto" w:sz="4" w:space="0"/>
            </w:tcBorders>
            <w:vAlign w:val="center"/>
          </w:tcPr>
          <w:p w14:paraId="5A81EEAD">
            <w:pPr>
              <w:spacing w:line="360" w:lineRule="auto"/>
              <w:jc w:val="center"/>
              <w:rPr>
                <w:rFonts w:ascii="宋体" w:hAnsi="宋体" w:cs="宋体"/>
                <w:szCs w:val="21"/>
              </w:rPr>
            </w:pPr>
          </w:p>
        </w:tc>
      </w:tr>
      <w:tr w14:paraId="507A9A57">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496BA605">
            <w:pPr>
              <w:spacing w:line="360" w:lineRule="auto"/>
              <w:jc w:val="center"/>
              <w:rPr>
                <w:rFonts w:ascii="宋体" w:hAnsi="宋体" w:cs="宋体"/>
                <w:szCs w:val="21"/>
              </w:rPr>
            </w:pPr>
            <w:r>
              <w:rPr>
                <w:rFonts w:hint="eastAsia" w:ascii="宋体" w:hAnsi="宋体" w:cs="宋体"/>
              </w:rPr>
              <w:t>6</w:t>
            </w:r>
          </w:p>
        </w:tc>
        <w:tc>
          <w:tcPr>
            <w:tcW w:w="599" w:type="dxa"/>
            <w:vMerge w:val="continue"/>
            <w:tcBorders>
              <w:top w:val="nil"/>
              <w:left w:val="nil"/>
              <w:bottom w:val="single" w:color="auto" w:sz="4" w:space="0"/>
              <w:right w:val="single" w:color="auto" w:sz="4" w:space="0"/>
            </w:tcBorders>
            <w:vAlign w:val="center"/>
          </w:tcPr>
          <w:p w14:paraId="59C38127">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349CB9D6">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地被和护坡有黄化现象、大面积死株、空缺、缠绕性杂草</w:t>
            </w:r>
          </w:p>
        </w:tc>
        <w:tc>
          <w:tcPr>
            <w:tcW w:w="1340" w:type="dxa"/>
            <w:tcBorders>
              <w:top w:val="single" w:color="auto" w:sz="4" w:space="0"/>
              <w:left w:val="nil"/>
              <w:bottom w:val="single" w:color="auto" w:sz="4" w:space="0"/>
              <w:right w:val="single" w:color="auto" w:sz="4" w:space="0"/>
            </w:tcBorders>
            <w:vAlign w:val="center"/>
          </w:tcPr>
          <w:p w14:paraId="11659FDD">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16F0D6FD">
            <w:pPr>
              <w:spacing w:line="360" w:lineRule="auto"/>
              <w:jc w:val="center"/>
              <w:rPr>
                <w:rFonts w:ascii="宋体" w:hAnsi="宋体" w:cs="宋体"/>
                <w:szCs w:val="21"/>
              </w:rPr>
            </w:pPr>
            <w:r>
              <w:rPr>
                <w:rFonts w:hint="eastAsia" w:ascii="宋体" w:hAnsi="宋体" w:cs="宋体"/>
              </w:rPr>
              <w:t>30</w:t>
            </w:r>
          </w:p>
        </w:tc>
        <w:tc>
          <w:tcPr>
            <w:tcW w:w="839" w:type="dxa"/>
            <w:tcBorders>
              <w:top w:val="single" w:color="auto" w:sz="4" w:space="0"/>
              <w:left w:val="nil"/>
              <w:bottom w:val="single" w:color="auto" w:sz="4" w:space="0"/>
              <w:right w:val="single" w:color="auto" w:sz="4" w:space="0"/>
            </w:tcBorders>
            <w:vAlign w:val="center"/>
          </w:tcPr>
          <w:p w14:paraId="25B8236F">
            <w:pPr>
              <w:spacing w:line="360" w:lineRule="auto"/>
              <w:jc w:val="center"/>
              <w:rPr>
                <w:rFonts w:ascii="宋体" w:hAnsi="宋体" w:cs="宋体"/>
                <w:szCs w:val="21"/>
              </w:rPr>
            </w:pPr>
          </w:p>
        </w:tc>
      </w:tr>
      <w:tr w14:paraId="74C1F04A">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72982C9C">
            <w:pPr>
              <w:spacing w:line="360" w:lineRule="auto"/>
              <w:jc w:val="center"/>
              <w:rPr>
                <w:rFonts w:ascii="宋体" w:hAnsi="宋体" w:cs="宋体"/>
                <w:szCs w:val="21"/>
              </w:rPr>
            </w:pPr>
            <w:r>
              <w:rPr>
                <w:rFonts w:hint="eastAsia" w:ascii="宋体" w:hAnsi="宋体" w:cs="宋体"/>
              </w:rPr>
              <w:t>7</w:t>
            </w:r>
          </w:p>
        </w:tc>
        <w:tc>
          <w:tcPr>
            <w:tcW w:w="599" w:type="dxa"/>
            <w:vMerge w:val="continue"/>
            <w:tcBorders>
              <w:top w:val="nil"/>
              <w:left w:val="nil"/>
              <w:bottom w:val="single" w:color="auto" w:sz="4" w:space="0"/>
              <w:right w:val="single" w:color="auto" w:sz="4" w:space="0"/>
            </w:tcBorders>
            <w:vAlign w:val="center"/>
          </w:tcPr>
          <w:p w14:paraId="5504D94E">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31344B99">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水生植物</w:t>
            </w:r>
            <w:r>
              <w:rPr>
                <w:rFonts w:hint="eastAsia" w:ascii="宋体" w:hAnsi="宋体" w:cs="宋体"/>
              </w:rPr>
              <w:t>有死株、</w:t>
            </w:r>
            <w:r>
              <w:rPr>
                <w:rFonts w:hint="eastAsia" w:ascii="宋体" w:hAnsi="宋体" w:cs="宋体"/>
                <w:kern w:val="0"/>
              </w:rPr>
              <w:t>缺株</w:t>
            </w:r>
          </w:p>
        </w:tc>
        <w:tc>
          <w:tcPr>
            <w:tcW w:w="1340" w:type="dxa"/>
            <w:tcBorders>
              <w:top w:val="single" w:color="auto" w:sz="4" w:space="0"/>
              <w:left w:val="nil"/>
              <w:bottom w:val="single" w:color="auto" w:sz="4" w:space="0"/>
              <w:right w:val="single" w:color="auto" w:sz="4" w:space="0"/>
            </w:tcBorders>
            <w:vAlign w:val="center"/>
          </w:tcPr>
          <w:p w14:paraId="4A15809F">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1ECF4C98">
            <w:pPr>
              <w:spacing w:line="360" w:lineRule="auto"/>
              <w:jc w:val="center"/>
              <w:rPr>
                <w:rFonts w:ascii="宋体" w:hAnsi="宋体" w:cs="宋体"/>
                <w:szCs w:val="21"/>
              </w:rPr>
            </w:pPr>
            <w:r>
              <w:rPr>
                <w:rFonts w:hint="eastAsia" w:ascii="宋体" w:hAnsi="宋体" w:cs="宋体"/>
              </w:rPr>
              <w:t>30</w:t>
            </w:r>
          </w:p>
        </w:tc>
        <w:tc>
          <w:tcPr>
            <w:tcW w:w="839" w:type="dxa"/>
            <w:tcBorders>
              <w:top w:val="single" w:color="auto" w:sz="4" w:space="0"/>
              <w:left w:val="nil"/>
              <w:bottom w:val="single" w:color="auto" w:sz="4" w:space="0"/>
              <w:right w:val="single" w:color="auto" w:sz="4" w:space="0"/>
            </w:tcBorders>
            <w:vAlign w:val="center"/>
          </w:tcPr>
          <w:p w14:paraId="32496693">
            <w:pPr>
              <w:spacing w:line="360" w:lineRule="auto"/>
              <w:jc w:val="center"/>
              <w:rPr>
                <w:rFonts w:ascii="宋体" w:hAnsi="宋体" w:cs="宋体"/>
                <w:szCs w:val="21"/>
              </w:rPr>
            </w:pPr>
          </w:p>
        </w:tc>
      </w:tr>
      <w:tr w14:paraId="36793F09">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4B33945B">
            <w:pPr>
              <w:spacing w:line="360" w:lineRule="auto"/>
              <w:jc w:val="center"/>
              <w:rPr>
                <w:rFonts w:ascii="宋体" w:hAnsi="宋体" w:cs="宋体"/>
                <w:szCs w:val="21"/>
              </w:rPr>
            </w:pPr>
            <w:r>
              <w:rPr>
                <w:rFonts w:hint="eastAsia" w:ascii="宋体" w:hAnsi="宋体" w:cs="宋体"/>
              </w:rPr>
              <w:t>8</w:t>
            </w:r>
          </w:p>
        </w:tc>
        <w:tc>
          <w:tcPr>
            <w:tcW w:w="599" w:type="dxa"/>
            <w:vMerge w:val="continue"/>
            <w:tcBorders>
              <w:top w:val="nil"/>
              <w:left w:val="nil"/>
              <w:bottom w:val="single" w:color="auto" w:sz="4" w:space="0"/>
              <w:right w:val="single" w:color="auto" w:sz="4" w:space="0"/>
            </w:tcBorders>
            <w:vAlign w:val="center"/>
          </w:tcPr>
          <w:p w14:paraId="41324563">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39AF17AC">
            <w:pPr>
              <w:snapToGrid w:val="0"/>
              <w:spacing w:line="360" w:lineRule="auto"/>
              <w:rPr>
                <w:rFonts w:ascii="宋体" w:hAnsi="宋体" w:cs="宋体"/>
                <w:szCs w:val="21"/>
              </w:rPr>
            </w:pPr>
            <w:r>
              <w:rPr>
                <w:rFonts w:hint="eastAsia" w:ascii="宋体" w:hAnsi="宋体" w:cs="宋体"/>
                <w:kern w:val="0"/>
              </w:rPr>
              <w:t>设施小品，如标杆、路沿石、</w:t>
            </w:r>
            <w:r>
              <w:rPr>
                <w:rFonts w:hint="eastAsia" w:ascii="宋体" w:hAnsi="宋体" w:cs="宋体"/>
              </w:rPr>
              <w:t>花架花钵、树池盖板、游园桌椅有缺损、歪斜、残缺锈蚀、放置存在安全隐患</w:t>
            </w:r>
          </w:p>
        </w:tc>
        <w:tc>
          <w:tcPr>
            <w:tcW w:w="1340" w:type="dxa"/>
            <w:tcBorders>
              <w:top w:val="single" w:color="auto" w:sz="4" w:space="0"/>
              <w:left w:val="nil"/>
              <w:bottom w:val="single" w:color="auto" w:sz="4" w:space="0"/>
              <w:right w:val="single" w:color="auto" w:sz="4" w:space="0"/>
            </w:tcBorders>
            <w:vAlign w:val="center"/>
          </w:tcPr>
          <w:p w14:paraId="50DE5B53">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10783543">
            <w:pPr>
              <w:spacing w:line="360" w:lineRule="auto"/>
              <w:jc w:val="center"/>
              <w:rPr>
                <w:rFonts w:ascii="宋体" w:hAnsi="宋体" w:cs="宋体"/>
                <w:szCs w:val="21"/>
              </w:rPr>
            </w:pPr>
            <w:r>
              <w:rPr>
                <w:rFonts w:hint="eastAsia" w:ascii="宋体" w:hAnsi="宋体" w:cs="宋体"/>
              </w:rPr>
              <w:t>50-200</w:t>
            </w:r>
          </w:p>
        </w:tc>
        <w:tc>
          <w:tcPr>
            <w:tcW w:w="839" w:type="dxa"/>
            <w:tcBorders>
              <w:top w:val="single" w:color="auto" w:sz="4" w:space="0"/>
              <w:left w:val="nil"/>
              <w:bottom w:val="single" w:color="auto" w:sz="4" w:space="0"/>
              <w:right w:val="single" w:color="auto" w:sz="4" w:space="0"/>
            </w:tcBorders>
            <w:vAlign w:val="center"/>
          </w:tcPr>
          <w:p w14:paraId="6C9BC19C">
            <w:pPr>
              <w:spacing w:line="360" w:lineRule="auto"/>
              <w:jc w:val="center"/>
              <w:rPr>
                <w:rFonts w:ascii="宋体" w:hAnsi="宋体" w:cs="宋体"/>
                <w:szCs w:val="21"/>
              </w:rPr>
            </w:pPr>
          </w:p>
        </w:tc>
      </w:tr>
      <w:tr w14:paraId="01838924">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5586387D">
            <w:pPr>
              <w:spacing w:line="360" w:lineRule="auto"/>
              <w:jc w:val="center"/>
              <w:rPr>
                <w:rFonts w:ascii="宋体" w:hAnsi="宋体" w:cs="宋体"/>
                <w:szCs w:val="21"/>
              </w:rPr>
            </w:pPr>
            <w:r>
              <w:rPr>
                <w:rFonts w:hint="eastAsia" w:ascii="宋体" w:hAnsi="宋体" w:cs="宋体"/>
              </w:rPr>
              <w:t>9</w:t>
            </w:r>
          </w:p>
        </w:tc>
        <w:tc>
          <w:tcPr>
            <w:tcW w:w="599" w:type="dxa"/>
            <w:vMerge w:val="restart"/>
            <w:tcBorders>
              <w:top w:val="nil"/>
              <w:left w:val="nil"/>
              <w:bottom w:val="single" w:color="auto" w:sz="4" w:space="0"/>
              <w:right w:val="single" w:color="auto" w:sz="4" w:space="0"/>
            </w:tcBorders>
            <w:vAlign w:val="center"/>
          </w:tcPr>
          <w:p w14:paraId="2F6C7283">
            <w:pPr>
              <w:spacing w:line="360" w:lineRule="auto"/>
              <w:jc w:val="center"/>
              <w:rPr>
                <w:rFonts w:ascii="宋体" w:hAnsi="宋体" w:cs="宋体"/>
                <w:b/>
                <w:szCs w:val="21"/>
              </w:rPr>
            </w:pPr>
            <w:r>
              <w:rPr>
                <w:rFonts w:hint="eastAsia" w:ascii="宋体" w:hAnsi="宋体" w:cs="宋体"/>
                <w:b/>
              </w:rPr>
              <w:t>卫生保洁</w:t>
            </w:r>
          </w:p>
        </w:tc>
        <w:tc>
          <w:tcPr>
            <w:tcW w:w="4979" w:type="dxa"/>
            <w:tcBorders>
              <w:top w:val="single" w:color="auto" w:sz="4" w:space="0"/>
              <w:left w:val="nil"/>
              <w:bottom w:val="single" w:color="auto" w:sz="4" w:space="0"/>
              <w:right w:val="single" w:color="auto" w:sz="4" w:space="0"/>
            </w:tcBorders>
          </w:tcPr>
          <w:p w14:paraId="47E6354F">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绿地、游园、树池、花坛、花池内有垃圾、杂草、落叶及其他废弃物，有卫生死角</w:t>
            </w:r>
          </w:p>
        </w:tc>
        <w:tc>
          <w:tcPr>
            <w:tcW w:w="1340" w:type="dxa"/>
            <w:tcBorders>
              <w:top w:val="single" w:color="auto" w:sz="4" w:space="0"/>
              <w:left w:val="nil"/>
              <w:bottom w:val="single" w:color="auto" w:sz="4" w:space="0"/>
              <w:right w:val="single" w:color="auto" w:sz="4" w:space="0"/>
            </w:tcBorders>
            <w:vAlign w:val="center"/>
          </w:tcPr>
          <w:p w14:paraId="3CCAAF46">
            <w:pPr>
              <w:spacing w:line="360" w:lineRule="auto"/>
              <w:jc w:val="center"/>
              <w:rPr>
                <w:rFonts w:ascii="宋体" w:hAnsi="宋体" w:cs="宋体"/>
                <w:szCs w:val="21"/>
              </w:rPr>
            </w:pPr>
            <w:r>
              <w:rPr>
                <w:rFonts w:hint="eastAsia" w:ascii="宋体" w:hAnsi="宋体" w:cs="宋体"/>
              </w:rPr>
              <w:t>3</w:t>
            </w:r>
          </w:p>
        </w:tc>
        <w:tc>
          <w:tcPr>
            <w:tcW w:w="1499" w:type="dxa"/>
            <w:tcBorders>
              <w:top w:val="single" w:color="auto" w:sz="4" w:space="0"/>
              <w:left w:val="nil"/>
              <w:bottom w:val="single" w:color="auto" w:sz="4" w:space="0"/>
              <w:right w:val="single" w:color="auto" w:sz="4" w:space="0"/>
            </w:tcBorders>
            <w:vAlign w:val="center"/>
          </w:tcPr>
          <w:p w14:paraId="38EEB339">
            <w:pPr>
              <w:spacing w:line="360" w:lineRule="auto"/>
              <w:jc w:val="center"/>
              <w:rPr>
                <w:rFonts w:ascii="宋体" w:hAnsi="宋体" w:cs="宋体"/>
                <w:szCs w:val="21"/>
              </w:rPr>
            </w:pPr>
            <w:r>
              <w:rPr>
                <w:rFonts w:hint="eastAsia" w:ascii="宋体" w:hAnsi="宋体" w:cs="宋体"/>
              </w:rPr>
              <w:t>20-100</w:t>
            </w:r>
          </w:p>
        </w:tc>
        <w:tc>
          <w:tcPr>
            <w:tcW w:w="839" w:type="dxa"/>
            <w:tcBorders>
              <w:top w:val="single" w:color="auto" w:sz="4" w:space="0"/>
              <w:left w:val="nil"/>
              <w:bottom w:val="single" w:color="auto" w:sz="4" w:space="0"/>
              <w:right w:val="single" w:color="auto" w:sz="4" w:space="0"/>
            </w:tcBorders>
            <w:vAlign w:val="center"/>
          </w:tcPr>
          <w:p w14:paraId="183F02F9">
            <w:pPr>
              <w:spacing w:line="360" w:lineRule="auto"/>
              <w:jc w:val="center"/>
              <w:rPr>
                <w:rFonts w:ascii="宋体" w:hAnsi="宋体" w:cs="宋体"/>
                <w:szCs w:val="21"/>
              </w:rPr>
            </w:pPr>
          </w:p>
        </w:tc>
      </w:tr>
      <w:tr w14:paraId="3D529854">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7E0AA997">
            <w:pPr>
              <w:spacing w:line="360" w:lineRule="auto"/>
              <w:jc w:val="center"/>
              <w:rPr>
                <w:rFonts w:ascii="宋体" w:hAnsi="宋体" w:cs="宋体"/>
                <w:szCs w:val="21"/>
              </w:rPr>
            </w:pPr>
            <w:r>
              <w:rPr>
                <w:rFonts w:hint="eastAsia" w:ascii="宋体" w:hAnsi="宋体" w:cs="宋体"/>
              </w:rPr>
              <w:t>10</w:t>
            </w:r>
          </w:p>
        </w:tc>
        <w:tc>
          <w:tcPr>
            <w:tcW w:w="599" w:type="dxa"/>
            <w:vMerge w:val="continue"/>
            <w:tcBorders>
              <w:top w:val="nil"/>
              <w:left w:val="nil"/>
              <w:bottom w:val="single" w:color="auto" w:sz="4" w:space="0"/>
              <w:right w:val="single" w:color="auto" w:sz="4" w:space="0"/>
            </w:tcBorders>
            <w:vAlign w:val="center"/>
          </w:tcPr>
          <w:p w14:paraId="190C05BC">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79CE363C">
            <w:pPr>
              <w:snapToGrid w:val="0"/>
              <w:spacing w:line="360" w:lineRule="auto"/>
              <w:rPr>
                <w:rFonts w:ascii="宋体" w:hAnsi="宋体" w:cs="宋体"/>
                <w:szCs w:val="21"/>
              </w:rPr>
            </w:pPr>
            <w:r>
              <w:rPr>
                <w:rFonts w:hint="eastAsia" w:ascii="宋体" w:hAnsi="宋体" w:cs="宋体"/>
                <w:kern w:val="0"/>
              </w:rPr>
              <w:t>池塘水池有</w:t>
            </w:r>
            <w:r>
              <w:rPr>
                <w:rFonts w:hint="eastAsia" w:ascii="宋体" w:hAnsi="宋体" w:cs="宋体"/>
              </w:rPr>
              <w:t>漂浮垃圾、水质恶臭，垃圾堆积</w:t>
            </w:r>
          </w:p>
        </w:tc>
        <w:tc>
          <w:tcPr>
            <w:tcW w:w="1340" w:type="dxa"/>
            <w:tcBorders>
              <w:top w:val="single" w:color="auto" w:sz="4" w:space="0"/>
              <w:left w:val="nil"/>
              <w:bottom w:val="single" w:color="auto" w:sz="4" w:space="0"/>
              <w:right w:val="single" w:color="auto" w:sz="4" w:space="0"/>
            </w:tcBorders>
            <w:vAlign w:val="center"/>
          </w:tcPr>
          <w:p w14:paraId="13AFB7FB">
            <w:pPr>
              <w:spacing w:line="360" w:lineRule="auto"/>
              <w:jc w:val="center"/>
              <w:rPr>
                <w:rFonts w:ascii="宋体" w:hAnsi="宋体" w:cs="宋体"/>
                <w:szCs w:val="21"/>
              </w:rPr>
            </w:pPr>
            <w:r>
              <w:rPr>
                <w:rFonts w:hint="eastAsia" w:ascii="宋体" w:hAnsi="宋体" w:cs="宋体"/>
              </w:rPr>
              <w:t>3</w:t>
            </w:r>
          </w:p>
        </w:tc>
        <w:tc>
          <w:tcPr>
            <w:tcW w:w="1499" w:type="dxa"/>
            <w:tcBorders>
              <w:top w:val="single" w:color="auto" w:sz="4" w:space="0"/>
              <w:left w:val="nil"/>
              <w:bottom w:val="single" w:color="auto" w:sz="4" w:space="0"/>
              <w:right w:val="single" w:color="auto" w:sz="4" w:space="0"/>
            </w:tcBorders>
            <w:vAlign w:val="center"/>
          </w:tcPr>
          <w:p w14:paraId="24CB9CD9">
            <w:pPr>
              <w:spacing w:line="360" w:lineRule="auto"/>
              <w:jc w:val="center"/>
              <w:rPr>
                <w:rFonts w:ascii="宋体" w:hAnsi="宋体" w:cs="宋体"/>
                <w:szCs w:val="21"/>
              </w:rPr>
            </w:pPr>
            <w:r>
              <w:rPr>
                <w:rFonts w:hint="eastAsia" w:ascii="宋体" w:hAnsi="宋体" w:cs="宋体"/>
              </w:rPr>
              <w:t>200</w:t>
            </w:r>
          </w:p>
        </w:tc>
        <w:tc>
          <w:tcPr>
            <w:tcW w:w="839" w:type="dxa"/>
            <w:tcBorders>
              <w:top w:val="single" w:color="auto" w:sz="4" w:space="0"/>
              <w:left w:val="nil"/>
              <w:bottom w:val="single" w:color="auto" w:sz="4" w:space="0"/>
              <w:right w:val="single" w:color="auto" w:sz="4" w:space="0"/>
            </w:tcBorders>
            <w:vAlign w:val="center"/>
          </w:tcPr>
          <w:p w14:paraId="5EAF2A1A">
            <w:pPr>
              <w:spacing w:line="360" w:lineRule="auto"/>
              <w:jc w:val="center"/>
              <w:rPr>
                <w:rFonts w:ascii="宋体" w:hAnsi="宋体" w:cs="宋体"/>
                <w:szCs w:val="21"/>
              </w:rPr>
            </w:pPr>
          </w:p>
        </w:tc>
      </w:tr>
      <w:tr w14:paraId="218F7DC1">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1A2BA030">
            <w:pPr>
              <w:spacing w:line="360" w:lineRule="auto"/>
              <w:jc w:val="center"/>
              <w:rPr>
                <w:rFonts w:ascii="宋体" w:hAnsi="宋体" w:cs="宋体"/>
                <w:szCs w:val="21"/>
              </w:rPr>
            </w:pPr>
            <w:r>
              <w:rPr>
                <w:rFonts w:hint="eastAsia" w:ascii="宋体" w:hAnsi="宋体" w:cs="宋体"/>
              </w:rPr>
              <w:t>11</w:t>
            </w:r>
          </w:p>
        </w:tc>
        <w:tc>
          <w:tcPr>
            <w:tcW w:w="599" w:type="dxa"/>
            <w:vMerge w:val="continue"/>
            <w:tcBorders>
              <w:top w:val="nil"/>
              <w:left w:val="nil"/>
              <w:bottom w:val="single" w:color="auto" w:sz="4" w:space="0"/>
              <w:right w:val="single" w:color="auto" w:sz="4" w:space="0"/>
            </w:tcBorders>
            <w:vAlign w:val="center"/>
          </w:tcPr>
          <w:p w14:paraId="1251DDAD">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1B9D4652">
            <w:pPr>
              <w:snapToGrid w:val="0"/>
              <w:spacing w:line="360" w:lineRule="auto"/>
              <w:rPr>
                <w:rFonts w:ascii="宋体" w:hAnsi="宋体" w:cs="宋体"/>
                <w:szCs w:val="21"/>
              </w:rPr>
            </w:pPr>
            <w:r>
              <w:rPr>
                <w:rFonts w:hint="eastAsia" w:ascii="宋体" w:hAnsi="宋体" w:cs="宋体"/>
              </w:rPr>
              <w:t>设施小品，</w:t>
            </w:r>
            <w:r>
              <w:rPr>
                <w:rFonts w:hint="eastAsia" w:ascii="宋体" w:hAnsi="宋体" w:cs="宋体"/>
                <w:kern w:val="0"/>
              </w:rPr>
              <w:t>如标杆、路沿石、</w:t>
            </w:r>
            <w:r>
              <w:rPr>
                <w:rFonts w:hint="eastAsia" w:ascii="宋体" w:hAnsi="宋体" w:cs="宋体"/>
              </w:rPr>
              <w:t>花架花钵、树池盖板、游园桌椅有积尘</w:t>
            </w:r>
          </w:p>
        </w:tc>
        <w:tc>
          <w:tcPr>
            <w:tcW w:w="1340" w:type="dxa"/>
            <w:tcBorders>
              <w:top w:val="single" w:color="auto" w:sz="4" w:space="0"/>
              <w:left w:val="nil"/>
              <w:bottom w:val="single" w:color="auto" w:sz="4" w:space="0"/>
              <w:right w:val="single" w:color="auto" w:sz="4" w:space="0"/>
            </w:tcBorders>
            <w:vAlign w:val="center"/>
          </w:tcPr>
          <w:p w14:paraId="1AD8039A">
            <w:pPr>
              <w:spacing w:line="360" w:lineRule="auto"/>
              <w:jc w:val="center"/>
              <w:rPr>
                <w:rFonts w:ascii="宋体" w:hAnsi="宋体" w:cs="宋体"/>
                <w:szCs w:val="21"/>
              </w:rPr>
            </w:pPr>
            <w:r>
              <w:rPr>
                <w:rFonts w:hint="eastAsia" w:ascii="宋体" w:hAnsi="宋体" w:cs="宋体"/>
              </w:rPr>
              <w:t>3</w:t>
            </w:r>
          </w:p>
        </w:tc>
        <w:tc>
          <w:tcPr>
            <w:tcW w:w="1499" w:type="dxa"/>
            <w:tcBorders>
              <w:top w:val="single" w:color="auto" w:sz="4" w:space="0"/>
              <w:left w:val="nil"/>
              <w:bottom w:val="single" w:color="auto" w:sz="4" w:space="0"/>
              <w:right w:val="single" w:color="auto" w:sz="4" w:space="0"/>
            </w:tcBorders>
            <w:vAlign w:val="center"/>
          </w:tcPr>
          <w:p w14:paraId="6830CEB7">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2C9ADA9B">
            <w:pPr>
              <w:spacing w:line="360" w:lineRule="auto"/>
              <w:jc w:val="center"/>
              <w:rPr>
                <w:rFonts w:ascii="宋体" w:hAnsi="宋体" w:cs="宋体"/>
                <w:szCs w:val="21"/>
              </w:rPr>
            </w:pPr>
          </w:p>
        </w:tc>
      </w:tr>
      <w:tr w14:paraId="6B76AE99">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4F3C738D">
            <w:pPr>
              <w:spacing w:line="360" w:lineRule="auto"/>
              <w:jc w:val="center"/>
              <w:rPr>
                <w:rFonts w:ascii="宋体" w:hAnsi="宋体" w:cs="宋体"/>
                <w:szCs w:val="21"/>
              </w:rPr>
            </w:pPr>
            <w:r>
              <w:rPr>
                <w:rFonts w:hint="eastAsia" w:ascii="宋体" w:hAnsi="宋体" w:cs="宋体"/>
              </w:rPr>
              <w:t>12</w:t>
            </w:r>
          </w:p>
        </w:tc>
        <w:tc>
          <w:tcPr>
            <w:tcW w:w="599" w:type="dxa"/>
            <w:vMerge w:val="continue"/>
            <w:tcBorders>
              <w:top w:val="nil"/>
              <w:left w:val="nil"/>
              <w:bottom w:val="single" w:color="auto" w:sz="4" w:space="0"/>
              <w:right w:val="single" w:color="auto" w:sz="4" w:space="0"/>
            </w:tcBorders>
            <w:vAlign w:val="center"/>
          </w:tcPr>
          <w:p w14:paraId="0233404D">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7084C82B">
            <w:pPr>
              <w:snapToGrid w:val="0"/>
              <w:spacing w:line="360" w:lineRule="auto"/>
              <w:rPr>
                <w:rFonts w:ascii="宋体" w:hAnsi="宋体" w:cs="宋体"/>
                <w:szCs w:val="21"/>
              </w:rPr>
            </w:pPr>
            <w:r>
              <w:rPr>
                <w:rFonts w:hint="eastAsia" w:ascii="宋体" w:hAnsi="宋体" w:cs="宋体"/>
                <w:kern w:val="0"/>
              </w:rPr>
              <w:t>修剪后枝叶、垃圾乱丢乱抛，未及时清运</w:t>
            </w:r>
          </w:p>
        </w:tc>
        <w:tc>
          <w:tcPr>
            <w:tcW w:w="1340" w:type="dxa"/>
            <w:tcBorders>
              <w:top w:val="single" w:color="auto" w:sz="4" w:space="0"/>
              <w:left w:val="nil"/>
              <w:bottom w:val="single" w:color="auto" w:sz="4" w:space="0"/>
              <w:right w:val="single" w:color="auto" w:sz="4" w:space="0"/>
            </w:tcBorders>
            <w:vAlign w:val="center"/>
          </w:tcPr>
          <w:p w14:paraId="3971E3CD">
            <w:pPr>
              <w:spacing w:line="360" w:lineRule="auto"/>
              <w:jc w:val="center"/>
              <w:rPr>
                <w:rFonts w:ascii="宋体" w:hAnsi="宋体" w:cs="宋体"/>
                <w:szCs w:val="21"/>
              </w:rPr>
            </w:pPr>
            <w:r>
              <w:rPr>
                <w:rFonts w:hint="eastAsia" w:ascii="宋体" w:hAnsi="宋体" w:cs="宋体"/>
              </w:rPr>
              <w:t>3</w:t>
            </w:r>
          </w:p>
        </w:tc>
        <w:tc>
          <w:tcPr>
            <w:tcW w:w="1499" w:type="dxa"/>
            <w:tcBorders>
              <w:top w:val="single" w:color="auto" w:sz="4" w:space="0"/>
              <w:left w:val="nil"/>
              <w:bottom w:val="single" w:color="auto" w:sz="4" w:space="0"/>
              <w:right w:val="single" w:color="auto" w:sz="4" w:space="0"/>
            </w:tcBorders>
            <w:vAlign w:val="center"/>
          </w:tcPr>
          <w:p w14:paraId="4C880807">
            <w:pPr>
              <w:spacing w:line="360" w:lineRule="auto"/>
              <w:jc w:val="center"/>
              <w:rPr>
                <w:rFonts w:ascii="宋体" w:hAnsi="宋体" w:cs="宋体"/>
                <w:szCs w:val="21"/>
              </w:rPr>
            </w:pPr>
            <w:r>
              <w:rPr>
                <w:rFonts w:hint="eastAsia" w:ascii="宋体" w:hAnsi="宋体" w:cs="宋体"/>
              </w:rPr>
              <w:t>50-200</w:t>
            </w:r>
          </w:p>
        </w:tc>
        <w:tc>
          <w:tcPr>
            <w:tcW w:w="839" w:type="dxa"/>
            <w:tcBorders>
              <w:top w:val="single" w:color="auto" w:sz="4" w:space="0"/>
              <w:left w:val="nil"/>
              <w:bottom w:val="single" w:color="auto" w:sz="4" w:space="0"/>
              <w:right w:val="single" w:color="auto" w:sz="4" w:space="0"/>
            </w:tcBorders>
            <w:vAlign w:val="center"/>
          </w:tcPr>
          <w:p w14:paraId="064D178F">
            <w:pPr>
              <w:spacing w:line="360" w:lineRule="auto"/>
              <w:jc w:val="center"/>
              <w:rPr>
                <w:rFonts w:ascii="宋体" w:hAnsi="宋体" w:cs="宋体"/>
                <w:szCs w:val="21"/>
              </w:rPr>
            </w:pPr>
          </w:p>
        </w:tc>
      </w:tr>
      <w:tr w14:paraId="11EFE255">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02A4614E">
            <w:pPr>
              <w:spacing w:line="360" w:lineRule="auto"/>
              <w:jc w:val="center"/>
              <w:rPr>
                <w:rFonts w:ascii="宋体" w:hAnsi="宋体" w:cs="宋体"/>
                <w:szCs w:val="21"/>
              </w:rPr>
            </w:pPr>
            <w:r>
              <w:rPr>
                <w:rFonts w:hint="eastAsia" w:ascii="宋体" w:hAnsi="宋体" w:cs="宋体"/>
              </w:rPr>
              <w:t>13</w:t>
            </w:r>
          </w:p>
        </w:tc>
        <w:tc>
          <w:tcPr>
            <w:tcW w:w="599" w:type="dxa"/>
            <w:vMerge w:val="continue"/>
            <w:tcBorders>
              <w:top w:val="nil"/>
              <w:left w:val="nil"/>
              <w:bottom w:val="single" w:color="auto" w:sz="4" w:space="0"/>
              <w:right w:val="single" w:color="auto" w:sz="4" w:space="0"/>
            </w:tcBorders>
            <w:vAlign w:val="center"/>
          </w:tcPr>
          <w:p w14:paraId="56F76913">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01EE5528">
            <w:pPr>
              <w:snapToGrid w:val="0"/>
              <w:spacing w:line="360" w:lineRule="auto"/>
              <w:rPr>
                <w:rFonts w:ascii="宋体" w:hAnsi="宋体" w:cs="宋体"/>
                <w:kern w:val="0"/>
                <w:szCs w:val="21"/>
              </w:rPr>
            </w:pPr>
            <w:r>
              <w:rPr>
                <w:rFonts w:hint="eastAsia" w:ascii="宋体" w:hAnsi="宋体" w:cs="宋体"/>
                <w:kern w:val="0"/>
              </w:rPr>
              <w:t>修剪后枝叶、垃圾未在指定地点进行处理</w:t>
            </w:r>
          </w:p>
        </w:tc>
        <w:tc>
          <w:tcPr>
            <w:tcW w:w="1340" w:type="dxa"/>
            <w:tcBorders>
              <w:top w:val="single" w:color="auto" w:sz="4" w:space="0"/>
              <w:left w:val="nil"/>
              <w:bottom w:val="single" w:color="auto" w:sz="4" w:space="0"/>
              <w:right w:val="single" w:color="auto" w:sz="4" w:space="0"/>
            </w:tcBorders>
            <w:vAlign w:val="center"/>
          </w:tcPr>
          <w:p w14:paraId="571DDA88">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5253B8EC">
            <w:pPr>
              <w:spacing w:line="360" w:lineRule="auto"/>
              <w:jc w:val="center"/>
              <w:rPr>
                <w:rFonts w:ascii="宋体" w:hAnsi="宋体" w:cs="宋体"/>
                <w:szCs w:val="21"/>
              </w:rPr>
            </w:pPr>
            <w:r>
              <w:rPr>
                <w:rFonts w:hint="eastAsia" w:ascii="宋体" w:hAnsi="宋体" w:cs="宋体"/>
              </w:rPr>
              <w:t>100-500</w:t>
            </w:r>
          </w:p>
        </w:tc>
        <w:tc>
          <w:tcPr>
            <w:tcW w:w="839" w:type="dxa"/>
            <w:tcBorders>
              <w:top w:val="single" w:color="auto" w:sz="4" w:space="0"/>
              <w:left w:val="nil"/>
              <w:bottom w:val="single" w:color="auto" w:sz="4" w:space="0"/>
              <w:right w:val="single" w:color="auto" w:sz="4" w:space="0"/>
            </w:tcBorders>
            <w:vAlign w:val="center"/>
          </w:tcPr>
          <w:p w14:paraId="763B2888">
            <w:pPr>
              <w:spacing w:line="360" w:lineRule="auto"/>
              <w:jc w:val="center"/>
              <w:rPr>
                <w:rFonts w:ascii="宋体" w:hAnsi="宋体" w:cs="宋体"/>
                <w:szCs w:val="21"/>
              </w:rPr>
            </w:pPr>
          </w:p>
        </w:tc>
      </w:tr>
      <w:tr w14:paraId="2762DAE4">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755C5A28">
            <w:pPr>
              <w:spacing w:line="360" w:lineRule="auto"/>
              <w:jc w:val="center"/>
              <w:rPr>
                <w:rFonts w:ascii="宋体" w:hAnsi="宋体" w:cs="宋体"/>
                <w:szCs w:val="21"/>
              </w:rPr>
            </w:pPr>
            <w:r>
              <w:rPr>
                <w:rFonts w:hint="eastAsia" w:ascii="宋体" w:hAnsi="宋体" w:cs="宋体"/>
              </w:rPr>
              <w:t>14</w:t>
            </w:r>
          </w:p>
        </w:tc>
        <w:tc>
          <w:tcPr>
            <w:tcW w:w="599" w:type="dxa"/>
            <w:vMerge w:val="restart"/>
            <w:tcBorders>
              <w:top w:val="nil"/>
              <w:left w:val="nil"/>
              <w:bottom w:val="single" w:color="auto" w:sz="4" w:space="0"/>
              <w:right w:val="single" w:color="auto" w:sz="4" w:space="0"/>
            </w:tcBorders>
            <w:vAlign w:val="center"/>
          </w:tcPr>
          <w:p w14:paraId="36CFB61E">
            <w:pPr>
              <w:spacing w:line="360" w:lineRule="auto"/>
              <w:rPr>
                <w:rFonts w:ascii="宋体" w:hAnsi="宋体" w:cs="宋体"/>
                <w:b/>
                <w:szCs w:val="21"/>
              </w:rPr>
            </w:pPr>
            <w:r>
              <w:rPr>
                <w:rFonts w:hint="eastAsia" w:ascii="宋体" w:hAnsi="宋体" w:cs="宋体"/>
                <w:b/>
                <w:kern w:val="0"/>
              </w:rPr>
              <w:t>植物修剪</w:t>
            </w:r>
          </w:p>
        </w:tc>
        <w:tc>
          <w:tcPr>
            <w:tcW w:w="4979" w:type="dxa"/>
            <w:tcBorders>
              <w:top w:val="single" w:color="auto" w:sz="4" w:space="0"/>
              <w:left w:val="nil"/>
              <w:bottom w:val="single" w:color="auto" w:sz="4" w:space="0"/>
              <w:right w:val="single" w:color="auto" w:sz="4" w:space="0"/>
            </w:tcBorders>
          </w:tcPr>
          <w:p w14:paraId="35131AEE">
            <w:pPr>
              <w:snapToGrid w:val="0"/>
              <w:spacing w:line="360" w:lineRule="auto"/>
              <w:rPr>
                <w:rFonts w:ascii="宋体" w:hAnsi="宋体" w:cs="宋体"/>
                <w:kern w:val="0"/>
                <w:szCs w:val="21"/>
              </w:rPr>
            </w:pPr>
            <w:r>
              <w:rPr>
                <w:rFonts w:hint="eastAsia" w:ascii="宋体" w:hAnsi="宋体" w:cs="宋体"/>
                <w:kern w:val="0"/>
              </w:rPr>
              <w:t>乔木未按规定修剪，萌蘖枝超过10厘米，有枯枝、病虫枝</w:t>
            </w:r>
          </w:p>
        </w:tc>
        <w:tc>
          <w:tcPr>
            <w:tcW w:w="1340" w:type="dxa"/>
            <w:tcBorders>
              <w:top w:val="single" w:color="auto" w:sz="4" w:space="0"/>
              <w:left w:val="nil"/>
              <w:bottom w:val="single" w:color="auto" w:sz="4" w:space="0"/>
              <w:right w:val="single" w:color="auto" w:sz="4" w:space="0"/>
            </w:tcBorders>
            <w:vAlign w:val="center"/>
          </w:tcPr>
          <w:p w14:paraId="692AF673">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2E6086E2">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5C4831BC">
            <w:pPr>
              <w:spacing w:line="360" w:lineRule="auto"/>
              <w:jc w:val="center"/>
              <w:rPr>
                <w:rFonts w:ascii="宋体" w:hAnsi="宋体" w:cs="宋体"/>
                <w:szCs w:val="21"/>
              </w:rPr>
            </w:pPr>
          </w:p>
        </w:tc>
      </w:tr>
      <w:tr w14:paraId="2ECF45F4">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14169D08">
            <w:pPr>
              <w:spacing w:line="360" w:lineRule="auto"/>
              <w:jc w:val="center"/>
              <w:rPr>
                <w:rFonts w:ascii="宋体" w:hAnsi="宋体" w:cs="宋体"/>
                <w:szCs w:val="21"/>
              </w:rPr>
            </w:pPr>
            <w:r>
              <w:rPr>
                <w:rFonts w:hint="eastAsia" w:ascii="宋体" w:hAnsi="宋体" w:cs="宋体"/>
              </w:rPr>
              <w:t>15</w:t>
            </w:r>
          </w:p>
        </w:tc>
        <w:tc>
          <w:tcPr>
            <w:tcW w:w="599" w:type="dxa"/>
            <w:vMerge w:val="continue"/>
            <w:tcBorders>
              <w:top w:val="nil"/>
              <w:left w:val="nil"/>
              <w:bottom w:val="single" w:color="auto" w:sz="4" w:space="0"/>
              <w:right w:val="single" w:color="auto" w:sz="4" w:space="0"/>
            </w:tcBorders>
            <w:vAlign w:val="center"/>
          </w:tcPr>
          <w:p w14:paraId="22FD1789">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0C541C92">
            <w:pPr>
              <w:snapToGrid w:val="0"/>
              <w:spacing w:line="360" w:lineRule="auto"/>
              <w:rPr>
                <w:rFonts w:ascii="宋体" w:hAnsi="宋体" w:cs="宋体"/>
                <w:kern w:val="0"/>
                <w:szCs w:val="21"/>
              </w:rPr>
            </w:pPr>
            <w:r>
              <w:rPr>
                <w:rFonts w:hint="eastAsia" w:ascii="宋体" w:hAnsi="宋体" w:cs="宋体"/>
                <w:kern w:val="0"/>
              </w:rPr>
              <w:t>灌木（包括花灌木）未按规定修剪，嫩枝抽出超过8厘米，有枯枝、病虫枝</w:t>
            </w:r>
          </w:p>
        </w:tc>
        <w:tc>
          <w:tcPr>
            <w:tcW w:w="1340" w:type="dxa"/>
            <w:tcBorders>
              <w:top w:val="single" w:color="auto" w:sz="4" w:space="0"/>
              <w:left w:val="nil"/>
              <w:bottom w:val="single" w:color="auto" w:sz="4" w:space="0"/>
              <w:right w:val="single" w:color="auto" w:sz="4" w:space="0"/>
            </w:tcBorders>
            <w:vAlign w:val="center"/>
          </w:tcPr>
          <w:p w14:paraId="6F8B29D1">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64890759">
            <w:pPr>
              <w:spacing w:line="360" w:lineRule="auto"/>
              <w:jc w:val="center"/>
              <w:rPr>
                <w:rFonts w:ascii="宋体" w:hAnsi="宋体" w:cs="宋体"/>
                <w:szCs w:val="21"/>
              </w:rPr>
            </w:pPr>
            <w:r>
              <w:rPr>
                <w:rFonts w:hint="eastAsia" w:ascii="宋体" w:hAnsi="宋体" w:cs="宋体"/>
              </w:rPr>
              <w:t>30</w:t>
            </w:r>
          </w:p>
        </w:tc>
        <w:tc>
          <w:tcPr>
            <w:tcW w:w="839" w:type="dxa"/>
            <w:tcBorders>
              <w:top w:val="single" w:color="auto" w:sz="4" w:space="0"/>
              <w:left w:val="nil"/>
              <w:bottom w:val="single" w:color="auto" w:sz="4" w:space="0"/>
              <w:right w:val="single" w:color="auto" w:sz="4" w:space="0"/>
            </w:tcBorders>
            <w:vAlign w:val="center"/>
          </w:tcPr>
          <w:p w14:paraId="3FF1D843">
            <w:pPr>
              <w:spacing w:line="360" w:lineRule="auto"/>
              <w:jc w:val="center"/>
              <w:rPr>
                <w:rFonts w:ascii="宋体" w:hAnsi="宋体" w:cs="宋体"/>
                <w:szCs w:val="21"/>
              </w:rPr>
            </w:pPr>
          </w:p>
        </w:tc>
      </w:tr>
      <w:tr w14:paraId="416AE803">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63A0C877">
            <w:pPr>
              <w:spacing w:line="360" w:lineRule="auto"/>
              <w:jc w:val="center"/>
              <w:rPr>
                <w:rFonts w:ascii="宋体" w:hAnsi="宋体" w:cs="宋体"/>
                <w:szCs w:val="21"/>
              </w:rPr>
            </w:pPr>
            <w:r>
              <w:rPr>
                <w:rFonts w:hint="eastAsia" w:ascii="宋体" w:hAnsi="宋体" w:cs="宋体"/>
              </w:rPr>
              <w:t>16</w:t>
            </w:r>
          </w:p>
        </w:tc>
        <w:tc>
          <w:tcPr>
            <w:tcW w:w="599" w:type="dxa"/>
            <w:vMerge w:val="continue"/>
            <w:tcBorders>
              <w:top w:val="nil"/>
              <w:left w:val="nil"/>
              <w:bottom w:val="single" w:color="auto" w:sz="4" w:space="0"/>
              <w:right w:val="single" w:color="auto" w:sz="4" w:space="0"/>
            </w:tcBorders>
            <w:vAlign w:val="center"/>
          </w:tcPr>
          <w:p w14:paraId="630A674D">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59A9CB84">
            <w:pPr>
              <w:snapToGrid w:val="0"/>
              <w:spacing w:line="360" w:lineRule="auto"/>
              <w:rPr>
                <w:rFonts w:ascii="宋体" w:hAnsi="宋体" w:cs="宋体"/>
                <w:kern w:val="0"/>
                <w:szCs w:val="21"/>
              </w:rPr>
            </w:pPr>
            <w:r>
              <w:rPr>
                <w:rFonts w:hint="eastAsia" w:ascii="宋体" w:hAnsi="宋体" w:cs="宋体"/>
                <w:kern w:val="0"/>
              </w:rPr>
              <w:t>绿篱未按规定修剪，嫩枝抽出超过5厘米，形状轮廓模糊，平面有凹凸</w:t>
            </w:r>
          </w:p>
        </w:tc>
        <w:tc>
          <w:tcPr>
            <w:tcW w:w="1340" w:type="dxa"/>
            <w:tcBorders>
              <w:top w:val="single" w:color="auto" w:sz="4" w:space="0"/>
              <w:left w:val="nil"/>
              <w:bottom w:val="single" w:color="auto" w:sz="4" w:space="0"/>
              <w:right w:val="single" w:color="auto" w:sz="4" w:space="0"/>
            </w:tcBorders>
            <w:vAlign w:val="center"/>
          </w:tcPr>
          <w:p w14:paraId="37EBBC85">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4BB3EA90">
            <w:pPr>
              <w:spacing w:line="360" w:lineRule="auto"/>
              <w:jc w:val="center"/>
              <w:rPr>
                <w:rFonts w:ascii="宋体" w:hAnsi="宋体" w:cs="宋体"/>
                <w:szCs w:val="21"/>
              </w:rPr>
            </w:pPr>
            <w:r>
              <w:rPr>
                <w:rFonts w:hint="eastAsia" w:ascii="宋体" w:hAnsi="宋体" w:cs="宋体"/>
              </w:rPr>
              <w:t>30</w:t>
            </w:r>
          </w:p>
        </w:tc>
        <w:tc>
          <w:tcPr>
            <w:tcW w:w="839" w:type="dxa"/>
            <w:tcBorders>
              <w:top w:val="single" w:color="auto" w:sz="4" w:space="0"/>
              <w:left w:val="nil"/>
              <w:bottom w:val="single" w:color="auto" w:sz="4" w:space="0"/>
              <w:right w:val="single" w:color="auto" w:sz="4" w:space="0"/>
            </w:tcBorders>
            <w:vAlign w:val="center"/>
          </w:tcPr>
          <w:p w14:paraId="2E5FF828">
            <w:pPr>
              <w:spacing w:line="360" w:lineRule="auto"/>
              <w:jc w:val="center"/>
              <w:rPr>
                <w:rFonts w:ascii="宋体" w:hAnsi="宋体" w:cs="宋体"/>
                <w:szCs w:val="21"/>
              </w:rPr>
            </w:pPr>
          </w:p>
        </w:tc>
      </w:tr>
      <w:tr w14:paraId="5402E1E3">
        <w:tblPrEx>
          <w:tblCellMar>
            <w:top w:w="0" w:type="dxa"/>
            <w:left w:w="108" w:type="dxa"/>
            <w:bottom w:w="0" w:type="dxa"/>
            <w:right w:w="108" w:type="dxa"/>
          </w:tblCellMar>
        </w:tblPrEx>
        <w:trPr>
          <w:trHeight w:val="1340" w:hRule="atLeast"/>
          <w:jc w:val="center"/>
        </w:trPr>
        <w:tc>
          <w:tcPr>
            <w:tcW w:w="632" w:type="dxa"/>
            <w:tcBorders>
              <w:top w:val="single" w:color="auto" w:sz="4" w:space="0"/>
              <w:left w:val="single" w:color="auto" w:sz="4" w:space="0"/>
              <w:bottom w:val="single" w:color="auto" w:sz="4" w:space="0"/>
              <w:right w:val="single" w:color="auto" w:sz="4" w:space="0"/>
            </w:tcBorders>
            <w:vAlign w:val="center"/>
          </w:tcPr>
          <w:p w14:paraId="2A5BF28F">
            <w:pPr>
              <w:spacing w:line="360" w:lineRule="auto"/>
              <w:jc w:val="center"/>
              <w:rPr>
                <w:rFonts w:ascii="宋体" w:hAnsi="宋体" w:cs="宋体"/>
                <w:szCs w:val="21"/>
              </w:rPr>
            </w:pPr>
            <w:r>
              <w:rPr>
                <w:rFonts w:hint="eastAsia" w:ascii="宋体" w:hAnsi="宋体" w:cs="宋体"/>
              </w:rPr>
              <w:t>17</w:t>
            </w:r>
          </w:p>
        </w:tc>
        <w:tc>
          <w:tcPr>
            <w:tcW w:w="599" w:type="dxa"/>
            <w:vMerge w:val="continue"/>
            <w:tcBorders>
              <w:top w:val="nil"/>
              <w:left w:val="nil"/>
              <w:bottom w:val="single" w:color="auto" w:sz="4" w:space="0"/>
              <w:right w:val="single" w:color="auto" w:sz="4" w:space="0"/>
            </w:tcBorders>
            <w:vAlign w:val="center"/>
          </w:tcPr>
          <w:p w14:paraId="030157C7">
            <w:pPr>
              <w:spacing w:line="360" w:lineRule="auto"/>
              <w:rPr>
                <w:sz w:val="20"/>
                <w:szCs w:val="20"/>
              </w:rPr>
            </w:pPr>
          </w:p>
        </w:tc>
        <w:tc>
          <w:tcPr>
            <w:tcW w:w="4979" w:type="dxa"/>
            <w:tcBorders>
              <w:top w:val="single" w:color="auto" w:sz="4" w:space="0"/>
              <w:left w:val="nil"/>
              <w:bottom w:val="single" w:color="auto" w:sz="4" w:space="0"/>
              <w:right w:val="single" w:color="auto" w:sz="4" w:space="0"/>
            </w:tcBorders>
            <w:vAlign w:val="center"/>
          </w:tcPr>
          <w:p w14:paraId="25ABF5D3">
            <w:pPr>
              <w:snapToGrid w:val="0"/>
              <w:spacing w:line="360" w:lineRule="auto"/>
              <w:jc w:val="center"/>
              <w:rPr>
                <w:rFonts w:ascii="宋体" w:hAnsi="宋体" w:cs="宋体"/>
                <w:kern w:val="0"/>
                <w:szCs w:val="21"/>
              </w:rPr>
            </w:pPr>
            <w:r>
              <w:rPr>
                <w:rFonts w:hint="eastAsia" w:ascii="宋体" w:hAnsi="宋体" w:cs="宋体"/>
                <w:kern w:val="0"/>
              </w:rPr>
              <w:t>绿篱修剪有空缺，露干枝、露捆扎物</w:t>
            </w:r>
          </w:p>
        </w:tc>
        <w:tc>
          <w:tcPr>
            <w:tcW w:w="1340" w:type="dxa"/>
            <w:tcBorders>
              <w:top w:val="single" w:color="auto" w:sz="4" w:space="0"/>
              <w:left w:val="nil"/>
              <w:bottom w:val="single" w:color="auto" w:sz="4" w:space="0"/>
              <w:right w:val="single" w:color="auto" w:sz="4" w:space="0"/>
            </w:tcBorders>
            <w:vAlign w:val="center"/>
          </w:tcPr>
          <w:p w14:paraId="0AD603DB">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208DCB98">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38B9B6AF">
            <w:pPr>
              <w:spacing w:line="360" w:lineRule="auto"/>
              <w:jc w:val="center"/>
              <w:rPr>
                <w:rFonts w:ascii="宋体" w:hAnsi="宋体" w:cs="宋体"/>
                <w:szCs w:val="21"/>
              </w:rPr>
            </w:pPr>
          </w:p>
        </w:tc>
      </w:tr>
      <w:tr w14:paraId="7AF763A8">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5C5C9E47">
            <w:pPr>
              <w:spacing w:line="360" w:lineRule="auto"/>
              <w:jc w:val="center"/>
              <w:rPr>
                <w:rFonts w:ascii="宋体" w:hAnsi="宋体" w:cs="宋体"/>
                <w:szCs w:val="21"/>
              </w:rPr>
            </w:pPr>
            <w:r>
              <w:rPr>
                <w:rFonts w:hint="eastAsia" w:ascii="宋体" w:hAnsi="宋体" w:cs="宋体"/>
              </w:rPr>
              <w:t>18</w:t>
            </w:r>
          </w:p>
        </w:tc>
        <w:tc>
          <w:tcPr>
            <w:tcW w:w="599" w:type="dxa"/>
            <w:vMerge w:val="continue"/>
            <w:tcBorders>
              <w:top w:val="nil"/>
              <w:left w:val="nil"/>
              <w:bottom w:val="single" w:color="auto" w:sz="4" w:space="0"/>
              <w:right w:val="single" w:color="auto" w:sz="4" w:space="0"/>
            </w:tcBorders>
            <w:vAlign w:val="center"/>
          </w:tcPr>
          <w:p w14:paraId="78D4DBD0">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5928EB81">
            <w:pPr>
              <w:snapToGrid w:val="0"/>
              <w:spacing w:line="360" w:lineRule="auto"/>
              <w:rPr>
                <w:rFonts w:ascii="宋体" w:hAnsi="宋体" w:cs="宋体"/>
                <w:kern w:val="0"/>
                <w:szCs w:val="21"/>
              </w:rPr>
            </w:pPr>
            <w:r>
              <w:rPr>
                <w:rFonts w:hint="eastAsia" w:ascii="宋体" w:hAnsi="宋体" w:cs="宋体"/>
                <w:kern w:val="0"/>
              </w:rPr>
              <w:t>地被和草坪未按规定修剪，草坪高度超过12厘米，长势杂乱</w:t>
            </w:r>
          </w:p>
        </w:tc>
        <w:tc>
          <w:tcPr>
            <w:tcW w:w="1340" w:type="dxa"/>
            <w:tcBorders>
              <w:top w:val="single" w:color="auto" w:sz="4" w:space="0"/>
              <w:left w:val="nil"/>
              <w:bottom w:val="single" w:color="auto" w:sz="4" w:space="0"/>
              <w:right w:val="single" w:color="auto" w:sz="4" w:space="0"/>
            </w:tcBorders>
            <w:vAlign w:val="center"/>
          </w:tcPr>
          <w:p w14:paraId="116A32E4">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4A0474CF">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3F51CDA1">
            <w:pPr>
              <w:spacing w:line="360" w:lineRule="auto"/>
              <w:jc w:val="center"/>
              <w:rPr>
                <w:rFonts w:ascii="宋体" w:hAnsi="宋体" w:cs="宋体"/>
                <w:szCs w:val="21"/>
              </w:rPr>
            </w:pPr>
          </w:p>
        </w:tc>
      </w:tr>
      <w:tr w14:paraId="3F074FA5">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4AE7092E">
            <w:pPr>
              <w:spacing w:line="360" w:lineRule="auto"/>
              <w:jc w:val="center"/>
              <w:rPr>
                <w:rFonts w:ascii="宋体" w:hAnsi="宋体" w:cs="宋体"/>
                <w:szCs w:val="21"/>
              </w:rPr>
            </w:pPr>
            <w:r>
              <w:rPr>
                <w:rFonts w:hint="eastAsia" w:ascii="宋体" w:hAnsi="宋体" w:cs="宋体"/>
              </w:rPr>
              <w:t>19</w:t>
            </w:r>
          </w:p>
        </w:tc>
        <w:tc>
          <w:tcPr>
            <w:tcW w:w="599" w:type="dxa"/>
            <w:vMerge w:val="continue"/>
            <w:tcBorders>
              <w:top w:val="nil"/>
              <w:left w:val="nil"/>
              <w:bottom w:val="single" w:color="auto" w:sz="4" w:space="0"/>
              <w:right w:val="single" w:color="auto" w:sz="4" w:space="0"/>
            </w:tcBorders>
            <w:vAlign w:val="center"/>
          </w:tcPr>
          <w:p w14:paraId="2610B87F">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205AC5BE">
            <w:pPr>
              <w:snapToGrid w:val="0"/>
              <w:spacing w:line="360" w:lineRule="auto"/>
              <w:rPr>
                <w:rFonts w:ascii="宋体" w:hAnsi="宋体" w:cs="宋体"/>
                <w:kern w:val="0"/>
                <w:szCs w:val="21"/>
              </w:rPr>
            </w:pPr>
            <w:r>
              <w:rPr>
                <w:rFonts w:hint="eastAsia" w:ascii="宋体" w:hAnsi="宋体" w:cs="宋体"/>
                <w:kern w:val="0"/>
              </w:rPr>
              <w:t>开花类植物未在花芽分化前修剪，造成开花量不足，影响观赏效果</w:t>
            </w:r>
          </w:p>
        </w:tc>
        <w:tc>
          <w:tcPr>
            <w:tcW w:w="1340" w:type="dxa"/>
            <w:tcBorders>
              <w:top w:val="single" w:color="auto" w:sz="4" w:space="0"/>
              <w:left w:val="nil"/>
              <w:bottom w:val="single" w:color="auto" w:sz="4" w:space="0"/>
              <w:right w:val="single" w:color="auto" w:sz="4" w:space="0"/>
            </w:tcBorders>
            <w:vAlign w:val="center"/>
          </w:tcPr>
          <w:p w14:paraId="09526F39">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0C5CE327">
            <w:pPr>
              <w:spacing w:line="360" w:lineRule="auto"/>
              <w:jc w:val="center"/>
              <w:rPr>
                <w:rFonts w:ascii="宋体" w:hAnsi="宋体" w:cs="宋体"/>
                <w:szCs w:val="21"/>
              </w:rPr>
            </w:pPr>
            <w:r>
              <w:rPr>
                <w:rFonts w:hint="eastAsia" w:ascii="宋体" w:hAnsi="宋体" w:cs="宋体"/>
              </w:rPr>
              <w:t>50-200</w:t>
            </w:r>
          </w:p>
        </w:tc>
        <w:tc>
          <w:tcPr>
            <w:tcW w:w="839" w:type="dxa"/>
            <w:tcBorders>
              <w:top w:val="single" w:color="auto" w:sz="4" w:space="0"/>
              <w:left w:val="nil"/>
              <w:bottom w:val="single" w:color="auto" w:sz="4" w:space="0"/>
              <w:right w:val="single" w:color="auto" w:sz="4" w:space="0"/>
            </w:tcBorders>
            <w:vAlign w:val="center"/>
          </w:tcPr>
          <w:p w14:paraId="28F03F0B">
            <w:pPr>
              <w:spacing w:line="360" w:lineRule="auto"/>
              <w:jc w:val="center"/>
              <w:rPr>
                <w:rFonts w:ascii="宋体" w:hAnsi="宋体" w:cs="宋体"/>
                <w:szCs w:val="21"/>
              </w:rPr>
            </w:pPr>
          </w:p>
        </w:tc>
      </w:tr>
      <w:tr w14:paraId="14967DBB">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6DA51688">
            <w:pPr>
              <w:spacing w:line="360" w:lineRule="auto"/>
              <w:jc w:val="center"/>
              <w:rPr>
                <w:rFonts w:ascii="宋体" w:hAnsi="宋体" w:cs="宋体"/>
                <w:szCs w:val="21"/>
              </w:rPr>
            </w:pPr>
            <w:r>
              <w:rPr>
                <w:rFonts w:hint="eastAsia" w:ascii="宋体" w:hAnsi="宋体" w:cs="宋体"/>
              </w:rPr>
              <w:t>20</w:t>
            </w:r>
          </w:p>
        </w:tc>
        <w:tc>
          <w:tcPr>
            <w:tcW w:w="599" w:type="dxa"/>
            <w:vMerge w:val="continue"/>
            <w:tcBorders>
              <w:top w:val="nil"/>
              <w:left w:val="nil"/>
              <w:bottom w:val="single" w:color="auto" w:sz="4" w:space="0"/>
              <w:right w:val="single" w:color="auto" w:sz="4" w:space="0"/>
            </w:tcBorders>
            <w:vAlign w:val="center"/>
          </w:tcPr>
          <w:p w14:paraId="1D4F4551">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18A90F17">
            <w:pPr>
              <w:snapToGrid w:val="0"/>
              <w:spacing w:line="360" w:lineRule="auto"/>
              <w:rPr>
                <w:rFonts w:ascii="宋体" w:hAnsi="宋体" w:cs="宋体"/>
                <w:kern w:val="0"/>
                <w:szCs w:val="21"/>
              </w:rPr>
            </w:pPr>
            <w:r>
              <w:rPr>
                <w:rFonts w:hint="eastAsia" w:ascii="宋体" w:hAnsi="宋体" w:cs="宋体"/>
                <w:kern w:val="0"/>
              </w:rPr>
              <w:t>开花类植物花期后未及时修剪，影响景观效果</w:t>
            </w:r>
          </w:p>
        </w:tc>
        <w:tc>
          <w:tcPr>
            <w:tcW w:w="1340" w:type="dxa"/>
            <w:tcBorders>
              <w:top w:val="single" w:color="auto" w:sz="4" w:space="0"/>
              <w:left w:val="nil"/>
              <w:bottom w:val="single" w:color="auto" w:sz="4" w:space="0"/>
              <w:right w:val="single" w:color="auto" w:sz="4" w:space="0"/>
            </w:tcBorders>
            <w:vAlign w:val="center"/>
          </w:tcPr>
          <w:p w14:paraId="2C764D27">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49085B83">
            <w:pPr>
              <w:spacing w:line="360" w:lineRule="auto"/>
              <w:jc w:val="center"/>
              <w:rPr>
                <w:rFonts w:ascii="宋体" w:hAnsi="宋体" w:cs="宋体"/>
                <w:szCs w:val="21"/>
              </w:rPr>
            </w:pPr>
            <w:r>
              <w:rPr>
                <w:rFonts w:hint="eastAsia" w:ascii="宋体" w:hAnsi="宋体" w:cs="宋体"/>
              </w:rPr>
              <w:t>50-200</w:t>
            </w:r>
          </w:p>
        </w:tc>
        <w:tc>
          <w:tcPr>
            <w:tcW w:w="839" w:type="dxa"/>
            <w:tcBorders>
              <w:top w:val="single" w:color="auto" w:sz="4" w:space="0"/>
              <w:left w:val="nil"/>
              <w:bottom w:val="single" w:color="auto" w:sz="4" w:space="0"/>
              <w:right w:val="single" w:color="auto" w:sz="4" w:space="0"/>
            </w:tcBorders>
            <w:vAlign w:val="center"/>
          </w:tcPr>
          <w:p w14:paraId="5BE62633">
            <w:pPr>
              <w:spacing w:line="360" w:lineRule="auto"/>
              <w:jc w:val="center"/>
              <w:rPr>
                <w:rFonts w:ascii="宋体" w:hAnsi="宋体" w:cs="宋体"/>
                <w:szCs w:val="21"/>
              </w:rPr>
            </w:pPr>
          </w:p>
        </w:tc>
      </w:tr>
      <w:tr w14:paraId="260240F1">
        <w:tblPrEx>
          <w:tblCellMar>
            <w:top w:w="0" w:type="dxa"/>
            <w:left w:w="108" w:type="dxa"/>
            <w:bottom w:w="0" w:type="dxa"/>
            <w:right w:w="108" w:type="dxa"/>
          </w:tblCellMar>
        </w:tblPrEx>
        <w:trPr>
          <w:trHeight w:val="1158" w:hRule="atLeast"/>
          <w:jc w:val="center"/>
        </w:trPr>
        <w:tc>
          <w:tcPr>
            <w:tcW w:w="632" w:type="dxa"/>
            <w:tcBorders>
              <w:top w:val="single" w:color="auto" w:sz="4" w:space="0"/>
              <w:left w:val="single" w:color="auto" w:sz="4" w:space="0"/>
              <w:bottom w:val="single" w:color="auto" w:sz="4" w:space="0"/>
              <w:right w:val="single" w:color="auto" w:sz="4" w:space="0"/>
            </w:tcBorders>
            <w:vAlign w:val="center"/>
          </w:tcPr>
          <w:p w14:paraId="3AFECA04">
            <w:pPr>
              <w:spacing w:line="360" w:lineRule="auto"/>
              <w:jc w:val="center"/>
              <w:rPr>
                <w:rFonts w:ascii="宋体" w:hAnsi="宋体" w:cs="宋体"/>
                <w:szCs w:val="21"/>
              </w:rPr>
            </w:pPr>
            <w:r>
              <w:rPr>
                <w:rFonts w:hint="eastAsia" w:ascii="宋体" w:hAnsi="宋体" w:cs="宋体"/>
              </w:rPr>
              <w:t>21</w:t>
            </w:r>
          </w:p>
        </w:tc>
        <w:tc>
          <w:tcPr>
            <w:tcW w:w="599" w:type="dxa"/>
            <w:vMerge w:val="continue"/>
            <w:tcBorders>
              <w:top w:val="nil"/>
              <w:left w:val="nil"/>
              <w:bottom w:val="single" w:color="auto" w:sz="4" w:space="0"/>
              <w:right w:val="single" w:color="auto" w:sz="4" w:space="0"/>
            </w:tcBorders>
            <w:vAlign w:val="center"/>
          </w:tcPr>
          <w:p w14:paraId="383EE276">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4F42772C">
            <w:pPr>
              <w:snapToGrid w:val="0"/>
              <w:spacing w:line="360" w:lineRule="auto"/>
              <w:rPr>
                <w:rFonts w:ascii="宋体" w:hAnsi="宋体" w:cs="宋体"/>
                <w:kern w:val="0"/>
                <w:szCs w:val="21"/>
              </w:rPr>
            </w:pPr>
            <w:r>
              <w:rPr>
                <w:rFonts w:hint="eastAsia" w:ascii="宋体" w:hAnsi="宋体" w:cs="宋体"/>
                <w:kern w:val="0"/>
              </w:rPr>
              <w:t>绿地内树穴与绿篱交接处杂乱，</w:t>
            </w:r>
          </w:p>
          <w:p w14:paraId="3084C66D">
            <w:pPr>
              <w:snapToGrid w:val="0"/>
              <w:spacing w:line="360" w:lineRule="auto"/>
              <w:rPr>
                <w:rFonts w:ascii="宋体" w:hAnsi="宋体" w:cs="宋体"/>
                <w:kern w:val="0"/>
                <w:szCs w:val="21"/>
              </w:rPr>
            </w:pPr>
            <w:r>
              <w:rPr>
                <w:rFonts w:hint="eastAsia" w:ascii="宋体" w:hAnsi="宋体" w:cs="宋体"/>
                <w:kern w:val="0"/>
              </w:rPr>
              <w:t>草坪与树木、绿篱、草花等植物无明显分隔沟</w:t>
            </w:r>
          </w:p>
        </w:tc>
        <w:tc>
          <w:tcPr>
            <w:tcW w:w="1340" w:type="dxa"/>
            <w:tcBorders>
              <w:top w:val="single" w:color="auto" w:sz="4" w:space="0"/>
              <w:left w:val="nil"/>
              <w:bottom w:val="single" w:color="auto" w:sz="4" w:space="0"/>
              <w:right w:val="single" w:color="auto" w:sz="4" w:space="0"/>
            </w:tcBorders>
            <w:vAlign w:val="center"/>
          </w:tcPr>
          <w:p w14:paraId="183E27D1">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0A56E1C3">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54F08110">
            <w:pPr>
              <w:spacing w:line="360" w:lineRule="auto"/>
              <w:jc w:val="center"/>
              <w:rPr>
                <w:rFonts w:ascii="宋体" w:hAnsi="宋体" w:cs="宋体"/>
                <w:szCs w:val="21"/>
              </w:rPr>
            </w:pPr>
          </w:p>
        </w:tc>
      </w:tr>
      <w:tr w14:paraId="531AAEFD">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75D6045C">
            <w:pPr>
              <w:spacing w:line="360" w:lineRule="auto"/>
              <w:jc w:val="center"/>
              <w:rPr>
                <w:rFonts w:ascii="宋体" w:hAnsi="宋体" w:cs="宋体"/>
                <w:szCs w:val="21"/>
              </w:rPr>
            </w:pPr>
            <w:r>
              <w:rPr>
                <w:rFonts w:hint="eastAsia" w:ascii="宋体" w:hAnsi="宋体" w:cs="宋体"/>
              </w:rPr>
              <w:t>22</w:t>
            </w:r>
          </w:p>
        </w:tc>
        <w:tc>
          <w:tcPr>
            <w:tcW w:w="599" w:type="dxa"/>
            <w:vMerge w:val="restart"/>
            <w:tcBorders>
              <w:top w:val="nil"/>
              <w:left w:val="nil"/>
              <w:bottom w:val="single" w:color="auto" w:sz="4" w:space="0"/>
              <w:right w:val="single" w:color="auto" w:sz="4" w:space="0"/>
            </w:tcBorders>
            <w:vAlign w:val="center"/>
          </w:tcPr>
          <w:p w14:paraId="79C8E69F">
            <w:pPr>
              <w:spacing w:line="360" w:lineRule="auto"/>
              <w:rPr>
                <w:rFonts w:ascii="宋体" w:hAnsi="宋体" w:cs="宋体"/>
                <w:b/>
                <w:kern w:val="0"/>
                <w:szCs w:val="21"/>
              </w:rPr>
            </w:pPr>
          </w:p>
          <w:p w14:paraId="4CABFF6F">
            <w:pPr>
              <w:spacing w:line="360" w:lineRule="auto"/>
              <w:jc w:val="center"/>
              <w:rPr>
                <w:rFonts w:ascii="宋体" w:hAnsi="宋体" w:cs="宋体"/>
                <w:b/>
                <w:kern w:val="0"/>
                <w:szCs w:val="21"/>
              </w:rPr>
            </w:pPr>
            <w:r>
              <w:rPr>
                <w:rFonts w:hint="eastAsia" w:ascii="宋体" w:hAnsi="宋体" w:cs="宋体"/>
                <w:b/>
                <w:kern w:val="0"/>
              </w:rPr>
              <w:t>降尘抗旱</w:t>
            </w:r>
          </w:p>
        </w:tc>
        <w:tc>
          <w:tcPr>
            <w:tcW w:w="4979" w:type="dxa"/>
            <w:tcBorders>
              <w:top w:val="single" w:color="auto" w:sz="4" w:space="0"/>
              <w:left w:val="nil"/>
              <w:bottom w:val="single" w:color="auto" w:sz="4" w:space="0"/>
              <w:right w:val="single" w:color="auto" w:sz="4" w:space="0"/>
            </w:tcBorders>
          </w:tcPr>
          <w:p w14:paraId="1F4B3356">
            <w:pPr>
              <w:snapToGrid w:val="0"/>
              <w:spacing w:line="360" w:lineRule="auto"/>
              <w:rPr>
                <w:rFonts w:ascii="宋体" w:hAnsi="宋体" w:cs="宋体"/>
                <w:kern w:val="0"/>
                <w:szCs w:val="21"/>
              </w:rPr>
            </w:pPr>
            <w:r>
              <w:rPr>
                <w:rFonts w:hint="eastAsia" w:ascii="宋体" w:hAnsi="宋体" w:cs="宋体"/>
                <w:kern w:val="0"/>
              </w:rPr>
              <w:t>根据天气情况，未及时对植物进行冲洗、降尘，植物外观效果有明显积尘、淤泥</w:t>
            </w:r>
          </w:p>
        </w:tc>
        <w:tc>
          <w:tcPr>
            <w:tcW w:w="1340" w:type="dxa"/>
            <w:tcBorders>
              <w:top w:val="single" w:color="auto" w:sz="4" w:space="0"/>
              <w:left w:val="nil"/>
              <w:bottom w:val="single" w:color="auto" w:sz="4" w:space="0"/>
              <w:right w:val="single" w:color="auto" w:sz="4" w:space="0"/>
            </w:tcBorders>
            <w:vAlign w:val="center"/>
          </w:tcPr>
          <w:p w14:paraId="1AE692FD">
            <w:pPr>
              <w:spacing w:line="360" w:lineRule="auto"/>
              <w:jc w:val="center"/>
              <w:rPr>
                <w:rFonts w:ascii="宋体" w:hAnsi="宋体" w:cs="宋体"/>
                <w:szCs w:val="21"/>
              </w:rPr>
            </w:pPr>
            <w:r>
              <w:rPr>
                <w:rFonts w:hint="eastAsia" w:ascii="宋体" w:hAnsi="宋体" w:cs="宋体"/>
              </w:rPr>
              <w:t>2</w:t>
            </w:r>
          </w:p>
        </w:tc>
        <w:tc>
          <w:tcPr>
            <w:tcW w:w="1499" w:type="dxa"/>
            <w:tcBorders>
              <w:top w:val="single" w:color="auto" w:sz="4" w:space="0"/>
              <w:left w:val="nil"/>
              <w:bottom w:val="single" w:color="auto" w:sz="4" w:space="0"/>
              <w:right w:val="single" w:color="auto" w:sz="4" w:space="0"/>
            </w:tcBorders>
            <w:vAlign w:val="center"/>
          </w:tcPr>
          <w:p w14:paraId="69C2DEFE">
            <w:pPr>
              <w:spacing w:line="360" w:lineRule="auto"/>
              <w:jc w:val="center"/>
              <w:rPr>
                <w:rFonts w:ascii="宋体" w:hAnsi="宋体" w:cs="宋体"/>
                <w:szCs w:val="21"/>
              </w:rPr>
            </w:pPr>
            <w:r>
              <w:rPr>
                <w:rFonts w:hint="eastAsia" w:ascii="宋体" w:hAnsi="宋体" w:cs="宋体"/>
              </w:rPr>
              <w:t>200-500</w:t>
            </w:r>
          </w:p>
        </w:tc>
        <w:tc>
          <w:tcPr>
            <w:tcW w:w="839" w:type="dxa"/>
            <w:tcBorders>
              <w:top w:val="single" w:color="auto" w:sz="4" w:space="0"/>
              <w:left w:val="nil"/>
              <w:bottom w:val="single" w:color="auto" w:sz="4" w:space="0"/>
              <w:right w:val="single" w:color="auto" w:sz="4" w:space="0"/>
            </w:tcBorders>
            <w:vAlign w:val="center"/>
          </w:tcPr>
          <w:p w14:paraId="49883AB5">
            <w:pPr>
              <w:spacing w:line="360" w:lineRule="auto"/>
              <w:jc w:val="center"/>
              <w:rPr>
                <w:rFonts w:ascii="宋体" w:hAnsi="宋体" w:cs="宋体"/>
                <w:szCs w:val="21"/>
              </w:rPr>
            </w:pPr>
          </w:p>
        </w:tc>
      </w:tr>
      <w:tr w14:paraId="660C6C09">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3455746A">
            <w:pPr>
              <w:spacing w:line="360" w:lineRule="auto"/>
              <w:jc w:val="center"/>
              <w:rPr>
                <w:rFonts w:ascii="宋体" w:hAnsi="宋体" w:cs="宋体"/>
                <w:szCs w:val="21"/>
              </w:rPr>
            </w:pPr>
            <w:r>
              <w:rPr>
                <w:rFonts w:hint="eastAsia" w:ascii="宋体" w:hAnsi="宋体" w:cs="宋体"/>
              </w:rPr>
              <w:t>23</w:t>
            </w:r>
          </w:p>
        </w:tc>
        <w:tc>
          <w:tcPr>
            <w:tcW w:w="599" w:type="dxa"/>
            <w:vMerge w:val="continue"/>
            <w:tcBorders>
              <w:top w:val="nil"/>
              <w:left w:val="nil"/>
              <w:bottom w:val="single" w:color="auto" w:sz="4" w:space="0"/>
              <w:right w:val="single" w:color="auto" w:sz="4" w:space="0"/>
            </w:tcBorders>
            <w:vAlign w:val="center"/>
          </w:tcPr>
          <w:p w14:paraId="3F7E6F8C">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56B7A781">
            <w:pPr>
              <w:snapToGrid w:val="0"/>
              <w:spacing w:line="360" w:lineRule="auto"/>
              <w:rPr>
                <w:rFonts w:ascii="宋体" w:hAnsi="宋体" w:cs="宋体"/>
                <w:kern w:val="0"/>
                <w:szCs w:val="21"/>
              </w:rPr>
            </w:pPr>
            <w:r>
              <w:rPr>
                <w:rFonts w:hint="eastAsia" w:ascii="宋体" w:hAnsi="宋体" w:cs="宋体"/>
                <w:kern w:val="0"/>
              </w:rPr>
              <w:t>根据天气情况，对绿化植物未进行适期适量浇水喷水，植物有干枯脱水现象发生</w:t>
            </w:r>
          </w:p>
        </w:tc>
        <w:tc>
          <w:tcPr>
            <w:tcW w:w="1340" w:type="dxa"/>
            <w:tcBorders>
              <w:top w:val="single" w:color="auto" w:sz="4" w:space="0"/>
              <w:left w:val="nil"/>
              <w:bottom w:val="single" w:color="auto" w:sz="4" w:space="0"/>
              <w:right w:val="single" w:color="auto" w:sz="4" w:space="0"/>
            </w:tcBorders>
            <w:vAlign w:val="center"/>
          </w:tcPr>
          <w:p w14:paraId="748BF428">
            <w:pPr>
              <w:spacing w:line="360" w:lineRule="auto"/>
              <w:jc w:val="center"/>
              <w:rPr>
                <w:rFonts w:ascii="宋体" w:hAnsi="宋体" w:cs="宋体"/>
                <w:szCs w:val="21"/>
              </w:rPr>
            </w:pPr>
            <w:r>
              <w:rPr>
                <w:rFonts w:hint="eastAsia" w:ascii="宋体" w:hAnsi="宋体" w:cs="宋体"/>
              </w:rPr>
              <w:t>2</w:t>
            </w:r>
          </w:p>
        </w:tc>
        <w:tc>
          <w:tcPr>
            <w:tcW w:w="1499" w:type="dxa"/>
            <w:tcBorders>
              <w:top w:val="single" w:color="auto" w:sz="4" w:space="0"/>
              <w:left w:val="nil"/>
              <w:bottom w:val="single" w:color="auto" w:sz="4" w:space="0"/>
              <w:right w:val="single" w:color="auto" w:sz="4" w:space="0"/>
            </w:tcBorders>
            <w:vAlign w:val="center"/>
          </w:tcPr>
          <w:p w14:paraId="1AFC7B08">
            <w:pPr>
              <w:spacing w:line="360" w:lineRule="auto"/>
              <w:jc w:val="center"/>
              <w:rPr>
                <w:rFonts w:ascii="宋体" w:hAnsi="宋体" w:cs="宋体"/>
                <w:szCs w:val="21"/>
              </w:rPr>
            </w:pPr>
            <w:r>
              <w:rPr>
                <w:rFonts w:hint="eastAsia" w:ascii="宋体" w:hAnsi="宋体" w:cs="宋体"/>
              </w:rPr>
              <w:t>200-1000</w:t>
            </w:r>
          </w:p>
        </w:tc>
        <w:tc>
          <w:tcPr>
            <w:tcW w:w="839" w:type="dxa"/>
            <w:tcBorders>
              <w:top w:val="single" w:color="auto" w:sz="4" w:space="0"/>
              <w:left w:val="nil"/>
              <w:bottom w:val="single" w:color="auto" w:sz="4" w:space="0"/>
              <w:right w:val="single" w:color="auto" w:sz="4" w:space="0"/>
            </w:tcBorders>
            <w:vAlign w:val="center"/>
          </w:tcPr>
          <w:p w14:paraId="52725690">
            <w:pPr>
              <w:spacing w:line="360" w:lineRule="auto"/>
              <w:jc w:val="center"/>
              <w:rPr>
                <w:rFonts w:ascii="宋体" w:hAnsi="宋体" w:cs="宋体"/>
                <w:szCs w:val="21"/>
              </w:rPr>
            </w:pPr>
          </w:p>
        </w:tc>
      </w:tr>
      <w:tr w14:paraId="4FBDDB97">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1DB2727A">
            <w:pPr>
              <w:spacing w:line="360" w:lineRule="auto"/>
              <w:jc w:val="center"/>
              <w:rPr>
                <w:rFonts w:ascii="宋体" w:hAnsi="宋体" w:cs="宋体"/>
                <w:szCs w:val="21"/>
              </w:rPr>
            </w:pPr>
            <w:r>
              <w:rPr>
                <w:rFonts w:hint="eastAsia" w:ascii="宋体" w:hAnsi="宋体" w:cs="宋体"/>
              </w:rPr>
              <w:t>24</w:t>
            </w:r>
          </w:p>
        </w:tc>
        <w:tc>
          <w:tcPr>
            <w:tcW w:w="599" w:type="dxa"/>
            <w:vMerge w:val="continue"/>
            <w:tcBorders>
              <w:top w:val="nil"/>
              <w:left w:val="nil"/>
              <w:bottom w:val="single" w:color="auto" w:sz="4" w:space="0"/>
              <w:right w:val="single" w:color="auto" w:sz="4" w:space="0"/>
            </w:tcBorders>
            <w:vAlign w:val="center"/>
          </w:tcPr>
          <w:p w14:paraId="3971F030">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6AE4A68E">
            <w:pPr>
              <w:snapToGrid w:val="0"/>
              <w:spacing w:line="360" w:lineRule="auto"/>
              <w:rPr>
                <w:rFonts w:ascii="宋体" w:hAnsi="宋体" w:cs="宋体"/>
                <w:kern w:val="0"/>
                <w:szCs w:val="21"/>
              </w:rPr>
            </w:pPr>
            <w:r>
              <w:rPr>
                <w:rFonts w:hint="eastAsia" w:ascii="宋体" w:hAnsi="宋体" w:cs="宋体"/>
                <w:kern w:val="0"/>
              </w:rPr>
              <w:t>涝季绿地内无排水沟，造成植物受淹，绿地内有坑洼现象</w:t>
            </w:r>
          </w:p>
        </w:tc>
        <w:tc>
          <w:tcPr>
            <w:tcW w:w="1340" w:type="dxa"/>
            <w:tcBorders>
              <w:top w:val="single" w:color="auto" w:sz="4" w:space="0"/>
              <w:left w:val="nil"/>
              <w:bottom w:val="single" w:color="auto" w:sz="4" w:space="0"/>
              <w:right w:val="single" w:color="auto" w:sz="4" w:space="0"/>
            </w:tcBorders>
            <w:vAlign w:val="center"/>
          </w:tcPr>
          <w:p w14:paraId="6B717B20">
            <w:pPr>
              <w:spacing w:line="360" w:lineRule="auto"/>
              <w:jc w:val="center"/>
              <w:rPr>
                <w:rFonts w:ascii="宋体" w:hAnsi="宋体" w:cs="宋体"/>
                <w:szCs w:val="21"/>
              </w:rPr>
            </w:pPr>
            <w:r>
              <w:rPr>
                <w:rFonts w:hint="eastAsia" w:ascii="宋体" w:hAnsi="宋体" w:cs="宋体"/>
              </w:rPr>
              <w:t>2</w:t>
            </w:r>
          </w:p>
        </w:tc>
        <w:tc>
          <w:tcPr>
            <w:tcW w:w="1499" w:type="dxa"/>
            <w:tcBorders>
              <w:top w:val="single" w:color="auto" w:sz="4" w:space="0"/>
              <w:left w:val="nil"/>
              <w:bottom w:val="single" w:color="auto" w:sz="4" w:space="0"/>
              <w:right w:val="single" w:color="auto" w:sz="4" w:space="0"/>
            </w:tcBorders>
            <w:vAlign w:val="center"/>
          </w:tcPr>
          <w:p w14:paraId="384C3F75">
            <w:pPr>
              <w:spacing w:line="360" w:lineRule="auto"/>
              <w:jc w:val="center"/>
              <w:rPr>
                <w:rFonts w:ascii="宋体" w:hAnsi="宋体" w:cs="宋体"/>
                <w:szCs w:val="21"/>
              </w:rPr>
            </w:pPr>
            <w:r>
              <w:rPr>
                <w:rFonts w:hint="eastAsia" w:ascii="宋体" w:hAnsi="宋体" w:cs="宋体"/>
              </w:rPr>
              <w:t>100</w:t>
            </w:r>
          </w:p>
        </w:tc>
        <w:tc>
          <w:tcPr>
            <w:tcW w:w="839" w:type="dxa"/>
            <w:tcBorders>
              <w:top w:val="single" w:color="auto" w:sz="4" w:space="0"/>
              <w:left w:val="nil"/>
              <w:bottom w:val="single" w:color="auto" w:sz="4" w:space="0"/>
              <w:right w:val="single" w:color="auto" w:sz="4" w:space="0"/>
            </w:tcBorders>
            <w:vAlign w:val="center"/>
          </w:tcPr>
          <w:p w14:paraId="092B0B96">
            <w:pPr>
              <w:spacing w:line="360" w:lineRule="auto"/>
              <w:jc w:val="center"/>
              <w:rPr>
                <w:rFonts w:ascii="宋体" w:hAnsi="宋体" w:cs="宋体"/>
                <w:szCs w:val="21"/>
              </w:rPr>
            </w:pPr>
          </w:p>
        </w:tc>
      </w:tr>
      <w:tr w14:paraId="06B413D2">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4157E1F4">
            <w:pPr>
              <w:spacing w:line="360" w:lineRule="auto"/>
              <w:jc w:val="center"/>
              <w:rPr>
                <w:rFonts w:ascii="宋体" w:hAnsi="宋体" w:cs="宋体"/>
                <w:szCs w:val="21"/>
              </w:rPr>
            </w:pPr>
            <w:r>
              <w:rPr>
                <w:rFonts w:hint="eastAsia" w:ascii="宋体" w:hAnsi="宋体" w:cs="宋体"/>
              </w:rPr>
              <w:t>25</w:t>
            </w:r>
          </w:p>
        </w:tc>
        <w:tc>
          <w:tcPr>
            <w:tcW w:w="599" w:type="dxa"/>
            <w:vMerge w:val="continue"/>
            <w:tcBorders>
              <w:top w:val="nil"/>
              <w:left w:val="nil"/>
              <w:bottom w:val="single" w:color="auto" w:sz="4" w:space="0"/>
              <w:right w:val="single" w:color="auto" w:sz="4" w:space="0"/>
            </w:tcBorders>
            <w:vAlign w:val="center"/>
          </w:tcPr>
          <w:p w14:paraId="01A1BCC5">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79886506">
            <w:pPr>
              <w:snapToGrid w:val="0"/>
              <w:spacing w:line="360" w:lineRule="auto"/>
              <w:rPr>
                <w:rFonts w:ascii="宋体" w:hAnsi="宋体" w:cs="宋体"/>
                <w:kern w:val="0"/>
                <w:szCs w:val="21"/>
              </w:rPr>
            </w:pPr>
            <w:r>
              <w:rPr>
                <w:rFonts w:hint="eastAsia" w:ascii="宋体" w:hAnsi="宋体" w:cs="宋体"/>
                <w:kern w:val="0"/>
              </w:rPr>
              <w:t>旱季抗旱工作不及时，造成植物干枯或者死亡</w:t>
            </w:r>
          </w:p>
        </w:tc>
        <w:tc>
          <w:tcPr>
            <w:tcW w:w="1340" w:type="dxa"/>
            <w:tcBorders>
              <w:top w:val="single" w:color="auto" w:sz="4" w:space="0"/>
              <w:left w:val="nil"/>
              <w:bottom w:val="single" w:color="auto" w:sz="4" w:space="0"/>
              <w:right w:val="single" w:color="auto" w:sz="4" w:space="0"/>
            </w:tcBorders>
            <w:vAlign w:val="center"/>
          </w:tcPr>
          <w:p w14:paraId="7BF382E9">
            <w:pPr>
              <w:spacing w:line="360" w:lineRule="auto"/>
              <w:jc w:val="center"/>
              <w:rPr>
                <w:rFonts w:ascii="宋体" w:hAnsi="宋体" w:cs="宋体"/>
                <w:szCs w:val="21"/>
              </w:rPr>
            </w:pPr>
            <w:r>
              <w:rPr>
                <w:rFonts w:hint="eastAsia" w:ascii="宋体" w:hAnsi="宋体" w:cs="宋体"/>
              </w:rPr>
              <w:t>2</w:t>
            </w:r>
          </w:p>
        </w:tc>
        <w:tc>
          <w:tcPr>
            <w:tcW w:w="1499" w:type="dxa"/>
            <w:tcBorders>
              <w:top w:val="single" w:color="auto" w:sz="4" w:space="0"/>
              <w:left w:val="nil"/>
              <w:bottom w:val="single" w:color="auto" w:sz="4" w:space="0"/>
              <w:right w:val="single" w:color="auto" w:sz="4" w:space="0"/>
            </w:tcBorders>
            <w:vAlign w:val="center"/>
          </w:tcPr>
          <w:p w14:paraId="72B87C6F">
            <w:pPr>
              <w:spacing w:line="360" w:lineRule="auto"/>
              <w:jc w:val="center"/>
              <w:rPr>
                <w:rFonts w:ascii="宋体" w:hAnsi="宋体" w:cs="宋体"/>
                <w:szCs w:val="21"/>
              </w:rPr>
            </w:pPr>
            <w:r>
              <w:rPr>
                <w:rFonts w:hint="eastAsia" w:ascii="宋体" w:hAnsi="宋体" w:cs="宋体"/>
              </w:rPr>
              <w:t>200-2000</w:t>
            </w:r>
          </w:p>
        </w:tc>
        <w:tc>
          <w:tcPr>
            <w:tcW w:w="839" w:type="dxa"/>
            <w:tcBorders>
              <w:top w:val="single" w:color="auto" w:sz="4" w:space="0"/>
              <w:left w:val="nil"/>
              <w:bottom w:val="single" w:color="auto" w:sz="4" w:space="0"/>
              <w:right w:val="single" w:color="auto" w:sz="4" w:space="0"/>
            </w:tcBorders>
            <w:vAlign w:val="center"/>
          </w:tcPr>
          <w:p w14:paraId="5E83492F">
            <w:pPr>
              <w:spacing w:line="360" w:lineRule="auto"/>
              <w:jc w:val="center"/>
              <w:rPr>
                <w:rFonts w:ascii="宋体" w:hAnsi="宋体" w:cs="宋体"/>
                <w:szCs w:val="21"/>
              </w:rPr>
            </w:pPr>
          </w:p>
        </w:tc>
      </w:tr>
      <w:tr w14:paraId="17643699">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32843E53">
            <w:pPr>
              <w:spacing w:line="360" w:lineRule="auto"/>
              <w:jc w:val="center"/>
              <w:rPr>
                <w:rFonts w:ascii="宋体" w:hAnsi="宋体" w:cs="宋体"/>
                <w:szCs w:val="21"/>
              </w:rPr>
            </w:pPr>
            <w:r>
              <w:rPr>
                <w:rFonts w:hint="eastAsia" w:ascii="宋体" w:hAnsi="宋体" w:cs="宋体"/>
              </w:rPr>
              <w:t>26</w:t>
            </w:r>
          </w:p>
        </w:tc>
        <w:tc>
          <w:tcPr>
            <w:tcW w:w="599" w:type="dxa"/>
            <w:vMerge w:val="restart"/>
            <w:tcBorders>
              <w:top w:val="nil"/>
              <w:left w:val="nil"/>
              <w:bottom w:val="single" w:color="auto" w:sz="4" w:space="0"/>
              <w:right w:val="single" w:color="auto" w:sz="4" w:space="0"/>
            </w:tcBorders>
            <w:vAlign w:val="center"/>
          </w:tcPr>
          <w:p w14:paraId="00A59F0D">
            <w:pPr>
              <w:spacing w:line="360" w:lineRule="auto"/>
              <w:jc w:val="center"/>
              <w:rPr>
                <w:rFonts w:ascii="宋体" w:hAnsi="宋体" w:cs="宋体"/>
                <w:b/>
                <w:kern w:val="0"/>
                <w:szCs w:val="21"/>
              </w:rPr>
            </w:pPr>
            <w:r>
              <w:rPr>
                <w:rFonts w:hint="eastAsia" w:ascii="宋体" w:hAnsi="宋体" w:cs="宋体"/>
                <w:b/>
                <w:kern w:val="0"/>
              </w:rPr>
              <w:t>病虫防治</w:t>
            </w:r>
          </w:p>
        </w:tc>
        <w:tc>
          <w:tcPr>
            <w:tcW w:w="4979" w:type="dxa"/>
            <w:tcBorders>
              <w:top w:val="single" w:color="auto" w:sz="4" w:space="0"/>
              <w:left w:val="nil"/>
              <w:bottom w:val="single" w:color="auto" w:sz="4" w:space="0"/>
              <w:right w:val="single" w:color="auto" w:sz="4" w:space="0"/>
            </w:tcBorders>
          </w:tcPr>
          <w:p w14:paraId="513D7659">
            <w:pPr>
              <w:snapToGrid w:val="0"/>
              <w:spacing w:line="360" w:lineRule="auto"/>
              <w:rPr>
                <w:rFonts w:ascii="宋体" w:hAnsi="宋体" w:cs="宋体"/>
                <w:kern w:val="0"/>
                <w:szCs w:val="21"/>
              </w:rPr>
            </w:pPr>
            <w:r>
              <w:rPr>
                <w:rFonts w:hint="eastAsia" w:ascii="宋体" w:hAnsi="宋体" w:cs="宋体"/>
                <w:kern w:val="0"/>
              </w:rPr>
              <w:t>定期对进行病虫害巡查，发现情况未主动汇报、积极预防</w:t>
            </w:r>
          </w:p>
        </w:tc>
        <w:tc>
          <w:tcPr>
            <w:tcW w:w="1340" w:type="dxa"/>
            <w:tcBorders>
              <w:top w:val="single" w:color="auto" w:sz="4" w:space="0"/>
              <w:left w:val="nil"/>
              <w:bottom w:val="single" w:color="auto" w:sz="4" w:space="0"/>
              <w:right w:val="single" w:color="auto" w:sz="4" w:space="0"/>
            </w:tcBorders>
            <w:vAlign w:val="center"/>
          </w:tcPr>
          <w:p w14:paraId="39912A63">
            <w:pPr>
              <w:spacing w:line="360" w:lineRule="auto"/>
              <w:jc w:val="center"/>
              <w:rPr>
                <w:rFonts w:ascii="宋体" w:hAnsi="宋体" w:cs="宋体"/>
                <w:szCs w:val="21"/>
              </w:rPr>
            </w:pPr>
            <w:r>
              <w:rPr>
                <w:rFonts w:hint="eastAsia" w:ascii="宋体" w:hAnsi="宋体" w:cs="宋体"/>
              </w:rPr>
              <w:t>3</w:t>
            </w:r>
          </w:p>
        </w:tc>
        <w:tc>
          <w:tcPr>
            <w:tcW w:w="1499" w:type="dxa"/>
            <w:tcBorders>
              <w:top w:val="single" w:color="auto" w:sz="4" w:space="0"/>
              <w:left w:val="nil"/>
              <w:bottom w:val="single" w:color="auto" w:sz="4" w:space="0"/>
              <w:right w:val="single" w:color="auto" w:sz="4" w:space="0"/>
            </w:tcBorders>
            <w:vAlign w:val="center"/>
          </w:tcPr>
          <w:p w14:paraId="6EDDA006">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7E027A89">
            <w:pPr>
              <w:spacing w:line="360" w:lineRule="auto"/>
              <w:jc w:val="center"/>
              <w:rPr>
                <w:rFonts w:ascii="宋体" w:hAnsi="宋体" w:cs="宋体"/>
                <w:szCs w:val="21"/>
              </w:rPr>
            </w:pPr>
          </w:p>
        </w:tc>
      </w:tr>
      <w:tr w14:paraId="4F1E2E5D">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0ABCF149">
            <w:pPr>
              <w:spacing w:line="360" w:lineRule="auto"/>
              <w:jc w:val="center"/>
              <w:rPr>
                <w:rFonts w:ascii="宋体" w:hAnsi="宋体" w:cs="宋体"/>
                <w:szCs w:val="21"/>
              </w:rPr>
            </w:pPr>
            <w:r>
              <w:rPr>
                <w:rFonts w:hint="eastAsia" w:ascii="宋体" w:hAnsi="宋体" w:cs="宋体"/>
              </w:rPr>
              <w:t>27</w:t>
            </w:r>
          </w:p>
        </w:tc>
        <w:tc>
          <w:tcPr>
            <w:tcW w:w="599" w:type="dxa"/>
            <w:vMerge w:val="continue"/>
            <w:tcBorders>
              <w:top w:val="nil"/>
              <w:left w:val="nil"/>
              <w:bottom w:val="single" w:color="auto" w:sz="4" w:space="0"/>
              <w:right w:val="single" w:color="auto" w:sz="4" w:space="0"/>
            </w:tcBorders>
            <w:vAlign w:val="center"/>
          </w:tcPr>
          <w:p w14:paraId="066E4B5A">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16A9B106">
            <w:pPr>
              <w:snapToGrid w:val="0"/>
              <w:spacing w:line="360" w:lineRule="auto"/>
              <w:rPr>
                <w:rFonts w:ascii="宋体" w:hAnsi="宋体" w:cs="宋体"/>
                <w:kern w:val="0"/>
                <w:szCs w:val="21"/>
              </w:rPr>
            </w:pPr>
            <w:r>
              <w:rPr>
                <w:rFonts w:hint="eastAsia" w:ascii="宋体" w:hAnsi="宋体" w:cs="宋体"/>
                <w:kern w:val="0"/>
              </w:rPr>
              <w:t>植物有明显虫屎、虫网、虫卵，未及时消灭病源、虫源，导致病、虫、草、鼠扩散、蔓延</w:t>
            </w:r>
          </w:p>
        </w:tc>
        <w:tc>
          <w:tcPr>
            <w:tcW w:w="1340" w:type="dxa"/>
            <w:tcBorders>
              <w:top w:val="single" w:color="auto" w:sz="4" w:space="0"/>
              <w:left w:val="nil"/>
              <w:bottom w:val="single" w:color="auto" w:sz="4" w:space="0"/>
              <w:right w:val="single" w:color="auto" w:sz="4" w:space="0"/>
            </w:tcBorders>
            <w:vAlign w:val="center"/>
          </w:tcPr>
          <w:p w14:paraId="5C577E32">
            <w:pPr>
              <w:spacing w:line="360" w:lineRule="auto"/>
              <w:jc w:val="center"/>
              <w:rPr>
                <w:rFonts w:ascii="宋体" w:hAnsi="宋体" w:cs="宋体"/>
                <w:szCs w:val="21"/>
              </w:rPr>
            </w:pPr>
            <w:r>
              <w:rPr>
                <w:rFonts w:hint="eastAsia" w:ascii="宋体" w:hAnsi="宋体" w:cs="宋体"/>
              </w:rPr>
              <w:t>12</w:t>
            </w:r>
          </w:p>
        </w:tc>
        <w:tc>
          <w:tcPr>
            <w:tcW w:w="1499" w:type="dxa"/>
            <w:tcBorders>
              <w:top w:val="single" w:color="auto" w:sz="4" w:space="0"/>
              <w:left w:val="nil"/>
              <w:bottom w:val="single" w:color="auto" w:sz="4" w:space="0"/>
              <w:right w:val="single" w:color="auto" w:sz="4" w:space="0"/>
            </w:tcBorders>
            <w:vAlign w:val="center"/>
          </w:tcPr>
          <w:p w14:paraId="0B583DCB">
            <w:pPr>
              <w:spacing w:line="360" w:lineRule="auto"/>
              <w:jc w:val="center"/>
              <w:rPr>
                <w:rFonts w:ascii="宋体" w:hAnsi="宋体" w:cs="宋体"/>
                <w:szCs w:val="21"/>
              </w:rPr>
            </w:pPr>
            <w:r>
              <w:rPr>
                <w:rFonts w:hint="eastAsia" w:ascii="宋体" w:hAnsi="宋体" w:cs="宋体"/>
              </w:rPr>
              <w:t>100-2000</w:t>
            </w:r>
          </w:p>
        </w:tc>
        <w:tc>
          <w:tcPr>
            <w:tcW w:w="839" w:type="dxa"/>
            <w:tcBorders>
              <w:top w:val="single" w:color="auto" w:sz="4" w:space="0"/>
              <w:left w:val="nil"/>
              <w:bottom w:val="single" w:color="auto" w:sz="4" w:space="0"/>
              <w:right w:val="single" w:color="auto" w:sz="4" w:space="0"/>
            </w:tcBorders>
            <w:vAlign w:val="center"/>
          </w:tcPr>
          <w:p w14:paraId="4481016C">
            <w:pPr>
              <w:spacing w:line="360" w:lineRule="auto"/>
              <w:jc w:val="center"/>
              <w:rPr>
                <w:rFonts w:ascii="宋体" w:hAnsi="宋体" w:cs="宋体"/>
                <w:szCs w:val="21"/>
              </w:rPr>
            </w:pPr>
          </w:p>
        </w:tc>
      </w:tr>
      <w:tr w14:paraId="2016948D">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3182C2DF">
            <w:pPr>
              <w:spacing w:line="360" w:lineRule="auto"/>
              <w:jc w:val="center"/>
              <w:rPr>
                <w:rFonts w:ascii="宋体" w:hAnsi="宋体" w:cs="宋体"/>
                <w:szCs w:val="21"/>
              </w:rPr>
            </w:pPr>
            <w:r>
              <w:rPr>
                <w:rFonts w:hint="eastAsia" w:ascii="宋体" w:hAnsi="宋体" w:cs="宋体"/>
              </w:rPr>
              <w:t>28</w:t>
            </w:r>
          </w:p>
        </w:tc>
        <w:tc>
          <w:tcPr>
            <w:tcW w:w="599" w:type="dxa"/>
            <w:vMerge w:val="continue"/>
            <w:tcBorders>
              <w:top w:val="nil"/>
              <w:left w:val="nil"/>
              <w:bottom w:val="single" w:color="auto" w:sz="4" w:space="0"/>
              <w:right w:val="single" w:color="auto" w:sz="4" w:space="0"/>
            </w:tcBorders>
            <w:vAlign w:val="center"/>
          </w:tcPr>
          <w:p w14:paraId="45B6B69E">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1CDBD711">
            <w:pPr>
              <w:snapToGrid w:val="0"/>
              <w:spacing w:line="360" w:lineRule="auto"/>
              <w:rPr>
                <w:rFonts w:ascii="宋体" w:hAnsi="宋体" w:cs="宋体"/>
                <w:kern w:val="0"/>
                <w:szCs w:val="21"/>
              </w:rPr>
            </w:pPr>
            <w:r>
              <w:rPr>
                <w:rFonts w:hint="eastAsia" w:ascii="宋体" w:hAnsi="宋体" w:cs="宋体"/>
                <w:kern w:val="0"/>
              </w:rPr>
              <w:t>发现病虫害未及时治理，致使单株植物受病面积超过20%</w:t>
            </w:r>
          </w:p>
        </w:tc>
        <w:tc>
          <w:tcPr>
            <w:tcW w:w="1340" w:type="dxa"/>
            <w:tcBorders>
              <w:top w:val="single" w:color="auto" w:sz="4" w:space="0"/>
              <w:left w:val="nil"/>
              <w:bottom w:val="single" w:color="auto" w:sz="4" w:space="0"/>
              <w:right w:val="single" w:color="auto" w:sz="4" w:space="0"/>
            </w:tcBorders>
            <w:vAlign w:val="center"/>
          </w:tcPr>
          <w:p w14:paraId="1DD3DD98">
            <w:pPr>
              <w:spacing w:line="360" w:lineRule="auto"/>
              <w:jc w:val="center"/>
              <w:rPr>
                <w:rFonts w:ascii="宋体" w:hAnsi="宋体" w:cs="宋体"/>
                <w:szCs w:val="21"/>
              </w:rPr>
            </w:pPr>
            <w:r>
              <w:rPr>
                <w:rFonts w:hint="eastAsia" w:ascii="宋体" w:hAnsi="宋体" w:cs="宋体"/>
              </w:rPr>
              <w:t>12</w:t>
            </w:r>
          </w:p>
        </w:tc>
        <w:tc>
          <w:tcPr>
            <w:tcW w:w="1499" w:type="dxa"/>
            <w:tcBorders>
              <w:top w:val="single" w:color="auto" w:sz="4" w:space="0"/>
              <w:left w:val="nil"/>
              <w:bottom w:val="single" w:color="auto" w:sz="4" w:space="0"/>
              <w:right w:val="single" w:color="auto" w:sz="4" w:space="0"/>
            </w:tcBorders>
            <w:vAlign w:val="center"/>
          </w:tcPr>
          <w:p w14:paraId="08D755DB">
            <w:pPr>
              <w:spacing w:line="360" w:lineRule="auto"/>
              <w:jc w:val="center"/>
              <w:rPr>
                <w:rFonts w:ascii="宋体" w:hAnsi="宋体" w:cs="宋体"/>
                <w:szCs w:val="21"/>
              </w:rPr>
            </w:pPr>
            <w:r>
              <w:rPr>
                <w:rFonts w:hint="eastAsia" w:ascii="宋体" w:hAnsi="宋体" w:cs="宋体"/>
              </w:rPr>
              <w:t>100</w:t>
            </w:r>
          </w:p>
        </w:tc>
        <w:tc>
          <w:tcPr>
            <w:tcW w:w="839" w:type="dxa"/>
            <w:tcBorders>
              <w:top w:val="single" w:color="auto" w:sz="4" w:space="0"/>
              <w:left w:val="nil"/>
              <w:bottom w:val="single" w:color="auto" w:sz="4" w:space="0"/>
              <w:right w:val="single" w:color="auto" w:sz="4" w:space="0"/>
            </w:tcBorders>
            <w:vAlign w:val="center"/>
          </w:tcPr>
          <w:p w14:paraId="5009FCB7">
            <w:pPr>
              <w:spacing w:line="360" w:lineRule="auto"/>
              <w:jc w:val="center"/>
              <w:rPr>
                <w:rFonts w:ascii="宋体" w:hAnsi="宋体" w:cs="宋体"/>
                <w:szCs w:val="21"/>
              </w:rPr>
            </w:pPr>
          </w:p>
        </w:tc>
      </w:tr>
      <w:tr w14:paraId="791F6C65">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0FAE5D78">
            <w:pPr>
              <w:spacing w:line="360" w:lineRule="auto"/>
              <w:jc w:val="center"/>
              <w:rPr>
                <w:rFonts w:ascii="宋体" w:hAnsi="宋体" w:cs="宋体"/>
                <w:szCs w:val="21"/>
              </w:rPr>
            </w:pPr>
            <w:r>
              <w:rPr>
                <w:rFonts w:hint="eastAsia" w:ascii="宋体" w:hAnsi="宋体" w:cs="宋体"/>
              </w:rPr>
              <w:t>29</w:t>
            </w:r>
          </w:p>
        </w:tc>
        <w:tc>
          <w:tcPr>
            <w:tcW w:w="599" w:type="dxa"/>
            <w:vMerge w:val="continue"/>
            <w:tcBorders>
              <w:top w:val="nil"/>
              <w:left w:val="nil"/>
              <w:bottom w:val="single" w:color="auto" w:sz="4" w:space="0"/>
              <w:right w:val="single" w:color="auto" w:sz="4" w:space="0"/>
            </w:tcBorders>
            <w:vAlign w:val="center"/>
          </w:tcPr>
          <w:p w14:paraId="7047FA2C">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553F8535">
            <w:pPr>
              <w:snapToGrid w:val="0"/>
              <w:spacing w:line="360" w:lineRule="auto"/>
              <w:rPr>
                <w:rFonts w:ascii="宋体" w:hAnsi="宋体" w:cs="宋体"/>
                <w:kern w:val="0"/>
                <w:szCs w:val="21"/>
              </w:rPr>
            </w:pPr>
            <w:r>
              <w:rPr>
                <w:rFonts w:hint="eastAsia" w:ascii="宋体" w:hAnsi="宋体" w:cs="宋体"/>
                <w:kern w:val="0"/>
              </w:rPr>
              <w:t>发现病虫害未及时治理，致使整体管护面积超过1%</w:t>
            </w:r>
          </w:p>
        </w:tc>
        <w:tc>
          <w:tcPr>
            <w:tcW w:w="1340" w:type="dxa"/>
            <w:tcBorders>
              <w:top w:val="single" w:color="auto" w:sz="4" w:space="0"/>
              <w:left w:val="nil"/>
              <w:bottom w:val="single" w:color="auto" w:sz="4" w:space="0"/>
              <w:right w:val="single" w:color="auto" w:sz="4" w:space="0"/>
            </w:tcBorders>
            <w:vAlign w:val="center"/>
          </w:tcPr>
          <w:p w14:paraId="38D6FD84">
            <w:pPr>
              <w:spacing w:line="360" w:lineRule="auto"/>
              <w:jc w:val="center"/>
              <w:rPr>
                <w:rFonts w:ascii="宋体" w:hAnsi="宋体" w:cs="宋体"/>
                <w:szCs w:val="21"/>
              </w:rPr>
            </w:pPr>
            <w:r>
              <w:rPr>
                <w:rFonts w:hint="eastAsia" w:ascii="宋体" w:hAnsi="宋体" w:cs="宋体"/>
              </w:rPr>
              <w:t>12</w:t>
            </w:r>
          </w:p>
        </w:tc>
        <w:tc>
          <w:tcPr>
            <w:tcW w:w="1499" w:type="dxa"/>
            <w:tcBorders>
              <w:top w:val="single" w:color="auto" w:sz="4" w:space="0"/>
              <w:left w:val="nil"/>
              <w:bottom w:val="single" w:color="auto" w:sz="4" w:space="0"/>
              <w:right w:val="single" w:color="auto" w:sz="4" w:space="0"/>
            </w:tcBorders>
            <w:vAlign w:val="center"/>
          </w:tcPr>
          <w:p w14:paraId="54E95999">
            <w:pPr>
              <w:spacing w:line="360" w:lineRule="auto"/>
              <w:jc w:val="center"/>
              <w:rPr>
                <w:rFonts w:ascii="宋体" w:hAnsi="宋体" w:cs="宋体"/>
                <w:szCs w:val="21"/>
              </w:rPr>
            </w:pPr>
            <w:r>
              <w:rPr>
                <w:rFonts w:hint="eastAsia" w:ascii="宋体" w:hAnsi="宋体" w:cs="宋体"/>
              </w:rPr>
              <w:t>100-500</w:t>
            </w:r>
          </w:p>
        </w:tc>
        <w:tc>
          <w:tcPr>
            <w:tcW w:w="839" w:type="dxa"/>
            <w:tcBorders>
              <w:top w:val="single" w:color="auto" w:sz="4" w:space="0"/>
              <w:left w:val="nil"/>
              <w:bottom w:val="single" w:color="auto" w:sz="4" w:space="0"/>
              <w:right w:val="single" w:color="auto" w:sz="4" w:space="0"/>
            </w:tcBorders>
            <w:vAlign w:val="center"/>
          </w:tcPr>
          <w:p w14:paraId="27E450CB">
            <w:pPr>
              <w:spacing w:line="360" w:lineRule="auto"/>
              <w:jc w:val="center"/>
              <w:rPr>
                <w:rFonts w:ascii="宋体" w:hAnsi="宋体" w:cs="宋体"/>
                <w:szCs w:val="21"/>
              </w:rPr>
            </w:pPr>
          </w:p>
        </w:tc>
      </w:tr>
      <w:tr w14:paraId="69EB7837">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6D5C9DE2">
            <w:pPr>
              <w:spacing w:line="360" w:lineRule="auto"/>
              <w:jc w:val="center"/>
              <w:rPr>
                <w:rFonts w:ascii="宋体" w:hAnsi="宋体" w:cs="宋体"/>
                <w:szCs w:val="21"/>
              </w:rPr>
            </w:pPr>
            <w:r>
              <w:rPr>
                <w:rFonts w:hint="eastAsia" w:ascii="宋体" w:hAnsi="宋体" w:cs="宋体"/>
              </w:rPr>
              <w:t>30</w:t>
            </w:r>
          </w:p>
        </w:tc>
        <w:tc>
          <w:tcPr>
            <w:tcW w:w="599" w:type="dxa"/>
            <w:vMerge w:val="continue"/>
            <w:tcBorders>
              <w:top w:val="nil"/>
              <w:left w:val="nil"/>
              <w:bottom w:val="single" w:color="auto" w:sz="4" w:space="0"/>
              <w:right w:val="single" w:color="auto" w:sz="4" w:space="0"/>
            </w:tcBorders>
            <w:vAlign w:val="center"/>
          </w:tcPr>
          <w:p w14:paraId="6D09A5B5">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1F063164">
            <w:pPr>
              <w:snapToGrid w:val="0"/>
              <w:spacing w:line="360" w:lineRule="auto"/>
              <w:rPr>
                <w:rFonts w:ascii="宋体" w:hAnsi="宋体" w:cs="宋体"/>
                <w:kern w:val="0"/>
                <w:szCs w:val="21"/>
              </w:rPr>
            </w:pPr>
            <w:r>
              <w:rPr>
                <w:rFonts w:hint="eastAsia" w:ascii="宋体" w:hAnsi="宋体" w:cs="宋体"/>
                <w:kern w:val="0"/>
              </w:rPr>
              <w:t>使用药剂未严格按操作规程和有关规定进行配比、用量、用法，造成药害</w:t>
            </w:r>
          </w:p>
        </w:tc>
        <w:tc>
          <w:tcPr>
            <w:tcW w:w="1340" w:type="dxa"/>
            <w:tcBorders>
              <w:top w:val="single" w:color="auto" w:sz="4" w:space="0"/>
              <w:left w:val="nil"/>
              <w:bottom w:val="single" w:color="auto" w:sz="4" w:space="0"/>
              <w:right w:val="single" w:color="auto" w:sz="4" w:space="0"/>
            </w:tcBorders>
            <w:vAlign w:val="center"/>
          </w:tcPr>
          <w:p w14:paraId="4FD36397">
            <w:pPr>
              <w:spacing w:line="360" w:lineRule="auto"/>
              <w:jc w:val="center"/>
              <w:rPr>
                <w:rFonts w:ascii="宋体" w:hAnsi="宋体" w:cs="宋体"/>
                <w:szCs w:val="21"/>
              </w:rPr>
            </w:pPr>
            <w:r>
              <w:rPr>
                <w:rFonts w:hint="eastAsia" w:ascii="宋体" w:hAnsi="宋体" w:cs="宋体"/>
              </w:rPr>
              <w:t>12</w:t>
            </w:r>
          </w:p>
        </w:tc>
        <w:tc>
          <w:tcPr>
            <w:tcW w:w="1499" w:type="dxa"/>
            <w:tcBorders>
              <w:top w:val="single" w:color="auto" w:sz="4" w:space="0"/>
              <w:left w:val="nil"/>
              <w:bottom w:val="single" w:color="auto" w:sz="4" w:space="0"/>
              <w:right w:val="single" w:color="auto" w:sz="4" w:space="0"/>
            </w:tcBorders>
            <w:vAlign w:val="center"/>
          </w:tcPr>
          <w:p w14:paraId="2F58D69E">
            <w:pPr>
              <w:spacing w:line="360" w:lineRule="auto"/>
              <w:jc w:val="center"/>
              <w:rPr>
                <w:rFonts w:ascii="宋体" w:hAnsi="宋体" w:cs="宋体"/>
                <w:szCs w:val="21"/>
              </w:rPr>
            </w:pPr>
            <w:r>
              <w:rPr>
                <w:rFonts w:hint="eastAsia" w:ascii="宋体" w:hAnsi="宋体" w:cs="宋体"/>
              </w:rPr>
              <w:t>200-2000</w:t>
            </w:r>
          </w:p>
        </w:tc>
        <w:tc>
          <w:tcPr>
            <w:tcW w:w="839" w:type="dxa"/>
            <w:tcBorders>
              <w:top w:val="single" w:color="auto" w:sz="4" w:space="0"/>
              <w:left w:val="nil"/>
              <w:bottom w:val="single" w:color="auto" w:sz="4" w:space="0"/>
              <w:right w:val="single" w:color="auto" w:sz="4" w:space="0"/>
            </w:tcBorders>
            <w:vAlign w:val="center"/>
          </w:tcPr>
          <w:p w14:paraId="35B589FF">
            <w:pPr>
              <w:spacing w:line="360" w:lineRule="auto"/>
              <w:jc w:val="center"/>
              <w:rPr>
                <w:rFonts w:ascii="宋体" w:hAnsi="宋体" w:cs="宋体"/>
                <w:szCs w:val="21"/>
              </w:rPr>
            </w:pPr>
          </w:p>
        </w:tc>
      </w:tr>
      <w:tr w14:paraId="0186BDD7">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6FBFCBC9">
            <w:pPr>
              <w:spacing w:line="360" w:lineRule="auto"/>
              <w:jc w:val="center"/>
              <w:rPr>
                <w:rFonts w:ascii="宋体" w:hAnsi="宋体" w:cs="宋体"/>
                <w:szCs w:val="21"/>
              </w:rPr>
            </w:pPr>
            <w:r>
              <w:rPr>
                <w:rFonts w:hint="eastAsia" w:ascii="宋体" w:hAnsi="宋体" w:cs="宋体"/>
              </w:rPr>
              <w:t>31</w:t>
            </w:r>
          </w:p>
        </w:tc>
        <w:tc>
          <w:tcPr>
            <w:tcW w:w="599" w:type="dxa"/>
            <w:vMerge w:val="continue"/>
            <w:tcBorders>
              <w:top w:val="nil"/>
              <w:left w:val="nil"/>
              <w:bottom w:val="single" w:color="auto" w:sz="4" w:space="0"/>
              <w:right w:val="single" w:color="auto" w:sz="4" w:space="0"/>
            </w:tcBorders>
            <w:vAlign w:val="center"/>
          </w:tcPr>
          <w:p w14:paraId="05A92020">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6C04ADDD">
            <w:pPr>
              <w:snapToGrid w:val="0"/>
              <w:spacing w:line="360" w:lineRule="auto"/>
              <w:rPr>
                <w:rFonts w:ascii="宋体" w:hAnsi="宋体" w:cs="宋体"/>
                <w:kern w:val="0"/>
                <w:szCs w:val="21"/>
              </w:rPr>
            </w:pPr>
            <w:r>
              <w:rPr>
                <w:rFonts w:hint="eastAsia" w:ascii="宋体" w:hAnsi="宋体" w:cs="宋体"/>
                <w:kern w:val="0"/>
              </w:rPr>
              <w:t>结合冬季树木修剪，未清理越冬虫蛹、虫茧及有关病原体，主干道树木未刷白</w:t>
            </w:r>
          </w:p>
        </w:tc>
        <w:tc>
          <w:tcPr>
            <w:tcW w:w="1340" w:type="dxa"/>
            <w:tcBorders>
              <w:top w:val="single" w:color="auto" w:sz="4" w:space="0"/>
              <w:left w:val="nil"/>
              <w:bottom w:val="single" w:color="auto" w:sz="4" w:space="0"/>
              <w:right w:val="single" w:color="auto" w:sz="4" w:space="0"/>
            </w:tcBorders>
            <w:vAlign w:val="center"/>
          </w:tcPr>
          <w:p w14:paraId="718FF386">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303932D0">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7F84ECA5">
            <w:pPr>
              <w:spacing w:line="360" w:lineRule="auto"/>
              <w:jc w:val="center"/>
              <w:rPr>
                <w:rFonts w:ascii="宋体" w:hAnsi="宋体" w:cs="宋体"/>
                <w:szCs w:val="21"/>
              </w:rPr>
            </w:pPr>
          </w:p>
        </w:tc>
      </w:tr>
      <w:tr w14:paraId="1C7795BC">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19762A09">
            <w:pPr>
              <w:spacing w:line="360" w:lineRule="auto"/>
              <w:jc w:val="center"/>
              <w:rPr>
                <w:rFonts w:ascii="宋体" w:hAnsi="宋体" w:cs="宋体"/>
                <w:szCs w:val="21"/>
              </w:rPr>
            </w:pPr>
            <w:r>
              <w:rPr>
                <w:rFonts w:hint="eastAsia" w:ascii="宋体" w:hAnsi="宋体" w:cs="宋体"/>
              </w:rPr>
              <w:t>32</w:t>
            </w:r>
          </w:p>
        </w:tc>
        <w:tc>
          <w:tcPr>
            <w:tcW w:w="599" w:type="dxa"/>
            <w:vMerge w:val="restart"/>
            <w:tcBorders>
              <w:top w:val="nil"/>
              <w:left w:val="nil"/>
              <w:bottom w:val="single" w:color="auto" w:sz="4" w:space="0"/>
              <w:right w:val="single" w:color="auto" w:sz="4" w:space="0"/>
            </w:tcBorders>
            <w:vAlign w:val="center"/>
          </w:tcPr>
          <w:p w14:paraId="294C800C">
            <w:pPr>
              <w:spacing w:line="360" w:lineRule="auto"/>
              <w:jc w:val="center"/>
              <w:rPr>
                <w:rFonts w:ascii="宋体" w:hAnsi="宋体" w:cs="宋体"/>
                <w:b/>
                <w:kern w:val="0"/>
                <w:szCs w:val="21"/>
              </w:rPr>
            </w:pPr>
            <w:r>
              <w:rPr>
                <w:rFonts w:hint="eastAsia" w:ascii="宋体" w:hAnsi="宋体" w:cs="宋体"/>
                <w:b/>
                <w:kern w:val="0"/>
              </w:rPr>
              <w:t>松土除草施肥</w:t>
            </w:r>
          </w:p>
        </w:tc>
        <w:tc>
          <w:tcPr>
            <w:tcW w:w="4979" w:type="dxa"/>
            <w:tcBorders>
              <w:top w:val="single" w:color="auto" w:sz="4" w:space="0"/>
              <w:left w:val="nil"/>
              <w:bottom w:val="single" w:color="auto" w:sz="4" w:space="0"/>
              <w:right w:val="single" w:color="auto" w:sz="4" w:space="0"/>
            </w:tcBorders>
          </w:tcPr>
          <w:p w14:paraId="05D7A6C3">
            <w:pPr>
              <w:snapToGrid w:val="0"/>
              <w:spacing w:line="360" w:lineRule="auto"/>
              <w:rPr>
                <w:rFonts w:ascii="宋体" w:hAnsi="宋体" w:cs="宋体"/>
                <w:kern w:val="0"/>
                <w:szCs w:val="21"/>
              </w:rPr>
            </w:pPr>
            <w:r>
              <w:rPr>
                <w:rFonts w:hint="eastAsia" w:ascii="宋体" w:hAnsi="宋体" w:cs="宋体"/>
                <w:kern w:val="0"/>
              </w:rPr>
              <w:t>未经常进行松土，土壤有板结现象</w:t>
            </w:r>
          </w:p>
        </w:tc>
        <w:tc>
          <w:tcPr>
            <w:tcW w:w="1340" w:type="dxa"/>
            <w:tcBorders>
              <w:top w:val="single" w:color="auto" w:sz="4" w:space="0"/>
              <w:left w:val="nil"/>
              <w:bottom w:val="single" w:color="auto" w:sz="4" w:space="0"/>
              <w:right w:val="single" w:color="auto" w:sz="4" w:space="0"/>
            </w:tcBorders>
            <w:vAlign w:val="center"/>
          </w:tcPr>
          <w:p w14:paraId="3ABAF0CF">
            <w:pPr>
              <w:spacing w:line="360" w:lineRule="auto"/>
              <w:jc w:val="center"/>
              <w:rPr>
                <w:rFonts w:ascii="宋体" w:hAnsi="宋体" w:cs="宋体"/>
                <w:szCs w:val="21"/>
              </w:rPr>
            </w:pPr>
            <w:r>
              <w:rPr>
                <w:rFonts w:hint="eastAsia" w:ascii="宋体" w:hAnsi="宋体" w:cs="宋体"/>
              </w:rPr>
              <w:t>12</w:t>
            </w:r>
          </w:p>
        </w:tc>
        <w:tc>
          <w:tcPr>
            <w:tcW w:w="1499" w:type="dxa"/>
            <w:tcBorders>
              <w:top w:val="single" w:color="auto" w:sz="4" w:space="0"/>
              <w:left w:val="nil"/>
              <w:bottom w:val="single" w:color="auto" w:sz="4" w:space="0"/>
              <w:right w:val="single" w:color="auto" w:sz="4" w:space="0"/>
            </w:tcBorders>
            <w:vAlign w:val="center"/>
          </w:tcPr>
          <w:p w14:paraId="5B6033A1">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5BA41139">
            <w:pPr>
              <w:spacing w:line="360" w:lineRule="auto"/>
              <w:jc w:val="center"/>
              <w:rPr>
                <w:rFonts w:ascii="宋体" w:hAnsi="宋体" w:cs="宋体"/>
                <w:szCs w:val="21"/>
              </w:rPr>
            </w:pPr>
          </w:p>
        </w:tc>
      </w:tr>
      <w:tr w14:paraId="200CD87B">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4D21E694">
            <w:pPr>
              <w:spacing w:line="360" w:lineRule="auto"/>
              <w:jc w:val="center"/>
              <w:rPr>
                <w:rFonts w:ascii="宋体" w:hAnsi="宋体" w:cs="宋体"/>
                <w:szCs w:val="21"/>
              </w:rPr>
            </w:pPr>
            <w:r>
              <w:rPr>
                <w:rFonts w:hint="eastAsia" w:ascii="宋体" w:hAnsi="宋体" w:cs="宋体"/>
              </w:rPr>
              <w:t>33</w:t>
            </w:r>
          </w:p>
        </w:tc>
        <w:tc>
          <w:tcPr>
            <w:tcW w:w="599" w:type="dxa"/>
            <w:vMerge w:val="continue"/>
            <w:tcBorders>
              <w:top w:val="nil"/>
              <w:left w:val="nil"/>
              <w:bottom w:val="single" w:color="auto" w:sz="4" w:space="0"/>
              <w:right w:val="single" w:color="auto" w:sz="4" w:space="0"/>
            </w:tcBorders>
            <w:vAlign w:val="center"/>
          </w:tcPr>
          <w:p w14:paraId="17BA10F3">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451CB46A">
            <w:pPr>
              <w:snapToGrid w:val="0"/>
              <w:spacing w:line="360" w:lineRule="auto"/>
              <w:rPr>
                <w:rFonts w:ascii="宋体" w:hAnsi="宋体" w:cs="宋体"/>
                <w:kern w:val="0"/>
                <w:szCs w:val="21"/>
              </w:rPr>
            </w:pPr>
            <w:r>
              <w:rPr>
                <w:rFonts w:hint="eastAsia" w:ascii="宋体" w:hAnsi="宋体" w:cs="宋体"/>
                <w:kern w:val="0"/>
              </w:rPr>
              <w:t>松土不慎导致植物损伤</w:t>
            </w:r>
          </w:p>
        </w:tc>
        <w:tc>
          <w:tcPr>
            <w:tcW w:w="1340" w:type="dxa"/>
            <w:tcBorders>
              <w:top w:val="single" w:color="auto" w:sz="4" w:space="0"/>
              <w:left w:val="nil"/>
              <w:bottom w:val="single" w:color="auto" w:sz="4" w:space="0"/>
              <w:right w:val="single" w:color="auto" w:sz="4" w:space="0"/>
            </w:tcBorders>
            <w:vAlign w:val="center"/>
          </w:tcPr>
          <w:p w14:paraId="0CC552C1">
            <w:pPr>
              <w:spacing w:line="360" w:lineRule="auto"/>
              <w:jc w:val="center"/>
              <w:rPr>
                <w:rFonts w:ascii="宋体" w:hAnsi="宋体" w:cs="宋体"/>
                <w:szCs w:val="21"/>
              </w:rPr>
            </w:pPr>
            <w:r>
              <w:rPr>
                <w:rFonts w:hint="eastAsia" w:ascii="宋体" w:hAnsi="宋体" w:cs="宋体"/>
              </w:rPr>
              <w:t>12</w:t>
            </w:r>
          </w:p>
        </w:tc>
        <w:tc>
          <w:tcPr>
            <w:tcW w:w="1499" w:type="dxa"/>
            <w:tcBorders>
              <w:top w:val="single" w:color="auto" w:sz="4" w:space="0"/>
              <w:left w:val="nil"/>
              <w:bottom w:val="single" w:color="auto" w:sz="4" w:space="0"/>
              <w:right w:val="single" w:color="auto" w:sz="4" w:space="0"/>
            </w:tcBorders>
            <w:vAlign w:val="center"/>
          </w:tcPr>
          <w:p w14:paraId="1050F9A1">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1911C014">
            <w:pPr>
              <w:spacing w:line="360" w:lineRule="auto"/>
              <w:jc w:val="center"/>
              <w:rPr>
                <w:rFonts w:ascii="宋体" w:hAnsi="宋体" w:cs="宋体"/>
                <w:szCs w:val="21"/>
              </w:rPr>
            </w:pPr>
          </w:p>
        </w:tc>
      </w:tr>
      <w:tr w14:paraId="3B7DB4B2">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50DFF2C2">
            <w:pPr>
              <w:spacing w:line="360" w:lineRule="auto"/>
              <w:jc w:val="center"/>
              <w:rPr>
                <w:rFonts w:ascii="宋体" w:hAnsi="宋体" w:cs="宋体"/>
                <w:szCs w:val="21"/>
              </w:rPr>
            </w:pPr>
            <w:r>
              <w:rPr>
                <w:rFonts w:hint="eastAsia" w:ascii="宋体" w:hAnsi="宋体" w:cs="宋体"/>
              </w:rPr>
              <w:t>34</w:t>
            </w:r>
          </w:p>
        </w:tc>
        <w:tc>
          <w:tcPr>
            <w:tcW w:w="599" w:type="dxa"/>
            <w:vMerge w:val="continue"/>
            <w:tcBorders>
              <w:top w:val="nil"/>
              <w:left w:val="nil"/>
              <w:bottom w:val="single" w:color="auto" w:sz="4" w:space="0"/>
              <w:right w:val="single" w:color="auto" w:sz="4" w:space="0"/>
            </w:tcBorders>
            <w:vAlign w:val="center"/>
          </w:tcPr>
          <w:p w14:paraId="1D2A8EB8">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2D79EE43">
            <w:pPr>
              <w:snapToGrid w:val="0"/>
              <w:spacing w:line="360" w:lineRule="auto"/>
              <w:rPr>
                <w:rFonts w:ascii="宋体" w:hAnsi="宋体" w:cs="宋体"/>
                <w:kern w:val="0"/>
                <w:szCs w:val="21"/>
              </w:rPr>
            </w:pPr>
            <w:r>
              <w:rPr>
                <w:rFonts w:hint="eastAsia" w:ascii="宋体" w:hAnsi="宋体" w:cs="宋体"/>
                <w:kern w:val="0"/>
              </w:rPr>
              <w:t>绿地内每平方米杂草超过10棵，杂草高度超过12厘米</w:t>
            </w:r>
          </w:p>
        </w:tc>
        <w:tc>
          <w:tcPr>
            <w:tcW w:w="1340" w:type="dxa"/>
            <w:tcBorders>
              <w:top w:val="single" w:color="auto" w:sz="4" w:space="0"/>
              <w:left w:val="nil"/>
              <w:bottom w:val="single" w:color="auto" w:sz="4" w:space="0"/>
              <w:right w:val="single" w:color="auto" w:sz="4" w:space="0"/>
            </w:tcBorders>
            <w:vAlign w:val="center"/>
          </w:tcPr>
          <w:p w14:paraId="53EF3B54">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78D8D812">
            <w:pPr>
              <w:spacing w:line="360" w:lineRule="auto"/>
              <w:jc w:val="center"/>
              <w:rPr>
                <w:rFonts w:ascii="宋体" w:hAnsi="宋体" w:cs="宋体"/>
                <w:szCs w:val="21"/>
              </w:rPr>
            </w:pPr>
            <w:r>
              <w:rPr>
                <w:rFonts w:hint="eastAsia" w:ascii="宋体" w:hAnsi="宋体" w:cs="宋体"/>
              </w:rPr>
              <w:t>30</w:t>
            </w:r>
          </w:p>
        </w:tc>
        <w:tc>
          <w:tcPr>
            <w:tcW w:w="839" w:type="dxa"/>
            <w:tcBorders>
              <w:top w:val="single" w:color="auto" w:sz="4" w:space="0"/>
              <w:left w:val="nil"/>
              <w:bottom w:val="single" w:color="auto" w:sz="4" w:space="0"/>
              <w:right w:val="single" w:color="auto" w:sz="4" w:space="0"/>
            </w:tcBorders>
            <w:vAlign w:val="center"/>
          </w:tcPr>
          <w:p w14:paraId="2BF40540">
            <w:pPr>
              <w:spacing w:line="360" w:lineRule="auto"/>
              <w:jc w:val="center"/>
              <w:rPr>
                <w:rFonts w:ascii="宋体" w:hAnsi="宋体" w:cs="宋体"/>
                <w:szCs w:val="21"/>
              </w:rPr>
            </w:pPr>
          </w:p>
        </w:tc>
      </w:tr>
      <w:tr w14:paraId="1480E4AB">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67C91093">
            <w:pPr>
              <w:spacing w:line="360" w:lineRule="auto"/>
              <w:jc w:val="center"/>
              <w:rPr>
                <w:rFonts w:ascii="宋体" w:hAnsi="宋体" w:cs="宋体"/>
                <w:szCs w:val="21"/>
              </w:rPr>
            </w:pPr>
            <w:r>
              <w:rPr>
                <w:rFonts w:hint="eastAsia" w:ascii="宋体" w:hAnsi="宋体" w:cs="宋体"/>
              </w:rPr>
              <w:t>35</w:t>
            </w:r>
          </w:p>
        </w:tc>
        <w:tc>
          <w:tcPr>
            <w:tcW w:w="599" w:type="dxa"/>
            <w:vMerge w:val="continue"/>
            <w:tcBorders>
              <w:top w:val="nil"/>
              <w:left w:val="nil"/>
              <w:bottom w:val="single" w:color="auto" w:sz="4" w:space="0"/>
              <w:right w:val="single" w:color="auto" w:sz="4" w:space="0"/>
            </w:tcBorders>
            <w:vAlign w:val="center"/>
          </w:tcPr>
          <w:p w14:paraId="532D1D97">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43C16BE1">
            <w:pPr>
              <w:snapToGrid w:val="0"/>
              <w:spacing w:line="360" w:lineRule="auto"/>
              <w:rPr>
                <w:rFonts w:ascii="宋体" w:hAnsi="宋体" w:cs="宋体"/>
                <w:kern w:val="0"/>
                <w:szCs w:val="21"/>
              </w:rPr>
            </w:pPr>
            <w:r>
              <w:rPr>
                <w:rFonts w:hint="eastAsia" w:ascii="宋体" w:hAnsi="宋体" w:cs="宋体"/>
                <w:kern w:val="0"/>
              </w:rPr>
              <w:t>未按规定根据植物生长特性合理施肥，未施、漏施、少施，或造成肥害</w:t>
            </w:r>
          </w:p>
        </w:tc>
        <w:tc>
          <w:tcPr>
            <w:tcW w:w="1340" w:type="dxa"/>
            <w:tcBorders>
              <w:top w:val="single" w:color="auto" w:sz="4" w:space="0"/>
              <w:left w:val="nil"/>
              <w:bottom w:val="single" w:color="auto" w:sz="4" w:space="0"/>
              <w:right w:val="single" w:color="auto" w:sz="4" w:space="0"/>
            </w:tcBorders>
            <w:vAlign w:val="center"/>
          </w:tcPr>
          <w:p w14:paraId="7542FDB8">
            <w:pPr>
              <w:spacing w:line="360" w:lineRule="auto"/>
              <w:jc w:val="center"/>
              <w:rPr>
                <w:rFonts w:ascii="宋体" w:hAnsi="宋体" w:cs="宋体"/>
                <w:szCs w:val="21"/>
              </w:rPr>
            </w:pPr>
            <w:r>
              <w:rPr>
                <w:rFonts w:hint="eastAsia" w:ascii="宋体" w:hAnsi="宋体" w:cs="宋体"/>
              </w:rPr>
              <w:t>12</w:t>
            </w:r>
          </w:p>
        </w:tc>
        <w:tc>
          <w:tcPr>
            <w:tcW w:w="1499" w:type="dxa"/>
            <w:tcBorders>
              <w:top w:val="single" w:color="auto" w:sz="4" w:space="0"/>
              <w:left w:val="nil"/>
              <w:bottom w:val="single" w:color="auto" w:sz="4" w:space="0"/>
              <w:right w:val="single" w:color="auto" w:sz="4" w:space="0"/>
            </w:tcBorders>
            <w:vAlign w:val="center"/>
          </w:tcPr>
          <w:p w14:paraId="31918C39">
            <w:pPr>
              <w:spacing w:line="360" w:lineRule="auto"/>
              <w:jc w:val="center"/>
              <w:rPr>
                <w:rFonts w:ascii="宋体" w:hAnsi="宋体" w:cs="宋体"/>
                <w:szCs w:val="21"/>
              </w:rPr>
            </w:pPr>
            <w:r>
              <w:rPr>
                <w:rFonts w:hint="eastAsia" w:ascii="宋体" w:hAnsi="宋体" w:cs="宋体"/>
              </w:rPr>
              <w:t>100</w:t>
            </w:r>
          </w:p>
        </w:tc>
        <w:tc>
          <w:tcPr>
            <w:tcW w:w="839" w:type="dxa"/>
            <w:tcBorders>
              <w:top w:val="single" w:color="auto" w:sz="4" w:space="0"/>
              <w:left w:val="nil"/>
              <w:bottom w:val="single" w:color="auto" w:sz="4" w:space="0"/>
              <w:right w:val="single" w:color="auto" w:sz="4" w:space="0"/>
            </w:tcBorders>
            <w:vAlign w:val="center"/>
          </w:tcPr>
          <w:p w14:paraId="6E8B7779">
            <w:pPr>
              <w:spacing w:line="360" w:lineRule="auto"/>
              <w:jc w:val="center"/>
              <w:rPr>
                <w:rFonts w:ascii="宋体" w:hAnsi="宋体" w:cs="宋体"/>
                <w:szCs w:val="21"/>
              </w:rPr>
            </w:pPr>
          </w:p>
        </w:tc>
      </w:tr>
      <w:tr w14:paraId="1EB95FF9">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6A53E9F5">
            <w:pPr>
              <w:spacing w:line="360" w:lineRule="auto"/>
              <w:jc w:val="center"/>
              <w:rPr>
                <w:rFonts w:ascii="宋体" w:hAnsi="宋体" w:cs="宋体"/>
                <w:szCs w:val="21"/>
              </w:rPr>
            </w:pPr>
            <w:r>
              <w:rPr>
                <w:rFonts w:hint="eastAsia" w:ascii="宋体" w:hAnsi="宋体" w:cs="宋体"/>
              </w:rPr>
              <w:t>36</w:t>
            </w:r>
          </w:p>
        </w:tc>
        <w:tc>
          <w:tcPr>
            <w:tcW w:w="599" w:type="dxa"/>
            <w:vMerge w:val="continue"/>
            <w:tcBorders>
              <w:top w:val="nil"/>
              <w:left w:val="nil"/>
              <w:bottom w:val="single" w:color="auto" w:sz="4" w:space="0"/>
              <w:right w:val="single" w:color="auto" w:sz="4" w:space="0"/>
            </w:tcBorders>
            <w:vAlign w:val="center"/>
          </w:tcPr>
          <w:p w14:paraId="7910CE42">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1B78A6F8">
            <w:pPr>
              <w:snapToGrid w:val="0"/>
              <w:spacing w:line="360" w:lineRule="auto"/>
              <w:rPr>
                <w:rFonts w:ascii="宋体" w:hAnsi="宋体" w:cs="宋体"/>
                <w:kern w:val="0"/>
                <w:szCs w:val="21"/>
              </w:rPr>
            </w:pPr>
            <w:r>
              <w:rPr>
                <w:rFonts w:hint="eastAsia" w:ascii="宋体" w:hAnsi="宋体" w:cs="宋体"/>
                <w:kern w:val="0"/>
              </w:rPr>
              <w:t>未按规定根据植物类别进行施肥，施肥方法正确，如乔木、灌木采用穴施或环状沟施，色块、草坪采用撒施或打孔穴施，行道树采用打孔穴施</w:t>
            </w:r>
          </w:p>
        </w:tc>
        <w:tc>
          <w:tcPr>
            <w:tcW w:w="1340" w:type="dxa"/>
            <w:tcBorders>
              <w:top w:val="single" w:color="auto" w:sz="4" w:space="0"/>
              <w:left w:val="nil"/>
              <w:bottom w:val="single" w:color="auto" w:sz="4" w:space="0"/>
              <w:right w:val="single" w:color="auto" w:sz="4" w:space="0"/>
            </w:tcBorders>
            <w:vAlign w:val="center"/>
          </w:tcPr>
          <w:p w14:paraId="60EFA9D7">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510E7B2E">
            <w:pPr>
              <w:spacing w:line="360" w:lineRule="auto"/>
              <w:jc w:val="center"/>
              <w:rPr>
                <w:rFonts w:ascii="宋体" w:hAnsi="宋体" w:cs="宋体"/>
                <w:szCs w:val="21"/>
              </w:rPr>
            </w:pPr>
            <w:r>
              <w:rPr>
                <w:rFonts w:hint="eastAsia" w:ascii="宋体" w:hAnsi="宋体" w:cs="宋体"/>
              </w:rPr>
              <w:t>100</w:t>
            </w:r>
          </w:p>
        </w:tc>
        <w:tc>
          <w:tcPr>
            <w:tcW w:w="839" w:type="dxa"/>
            <w:tcBorders>
              <w:top w:val="single" w:color="auto" w:sz="4" w:space="0"/>
              <w:left w:val="nil"/>
              <w:bottom w:val="single" w:color="auto" w:sz="4" w:space="0"/>
              <w:right w:val="single" w:color="auto" w:sz="4" w:space="0"/>
            </w:tcBorders>
            <w:vAlign w:val="center"/>
          </w:tcPr>
          <w:p w14:paraId="67BF1294">
            <w:pPr>
              <w:spacing w:line="360" w:lineRule="auto"/>
              <w:jc w:val="center"/>
              <w:rPr>
                <w:rFonts w:ascii="宋体" w:hAnsi="宋体" w:cs="宋体"/>
                <w:szCs w:val="21"/>
              </w:rPr>
            </w:pPr>
          </w:p>
        </w:tc>
      </w:tr>
      <w:tr w14:paraId="582BC66C">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28E407D1">
            <w:pPr>
              <w:spacing w:line="360" w:lineRule="auto"/>
              <w:jc w:val="center"/>
              <w:rPr>
                <w:rFonts w:ascii="宋体" w:hAnsi="宋体" w:cs="宋体"/>
                <w:szCs w:val="21"/>
              </w:rPr>
            </w:pPr>
            <w:r>
              <w:rPr>
                <w:rFonts w:hint="eastAsia" w:ascii="宋体" w:hAnsi="宋体" w:cs="宋体"/>
              </w:rPr>
              <w:t>37</w:t>
            </w:r>
          </w:p>
        </w:tc>
        <w:tc>
          <w:tcPr>
            <w:tcW w:w="599" w:type="dxa"/>
            <w:vMerge w:val="restart"/>
            <w:tcBorders>
              <w:top w:val="nil"/>
              <w:left w:val="nil"/>
              <w:bottom w:val="single" w:color="auto" w:sz="4" w:space="0"/>
              <w:right w:val="single" w:color="auto" w:sz="4" w:space="0"/>
            </w:tcBorders>
            <w:vAlign w:val="center"/>
          </w:tcPr>
          <w:p w14:paraId="6702612B">
            <w:pPr>
              <w:spacing w:line="360" w:lineRule="auto"/>
              <w:jc w:val="center"/>
              <w:rPr>
                <w:rFonts w:ascii="宋体" w:hAnsi="宋体" w:cs="宋体"/>
                <w:b/>
                <w:kern w:val="0"/>
                <w:szCs w:val="21"/>
              </w:rPr>
            </w:pPr>
            <w:r>
              <w:rPr>
                <w:rFonts w:hint="eastAsia" w:ascii="宋体" w:hAnsi="宋体" w:cs="宋体"/>
                <w:b/>
                <w:kern w:val="0"/>
              </w:rPr>
              <w:t>安全排危</w:t>
            </w:r>
          </w:p>
        </w:tc>
        <w:tc>
          <w:tcPr>
            <w:tcW w:w="4979" w:type="dxa"/>
            <w:tcBorders>
              <w:top w:val="single" w:color="auto" w:sz="4" w:space="0"/>
              <w:left w:val="nil"/>
              <w:bottom w:val="single" w:color="auto" w:sz="4" w:space="0"/>
              <w:right w:val="single" w:color="auto" w:sz="4" w:space="0"/>
            </w:tcBorders>
          </w:tcPr>
          <w:p w14:paraId="22E80448">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狂风暴雨季节未对高大乔木采取预防措施</w:t>
            </w:r>
          </w:p>
        </w:tc>
        <w:tc>
          <w:tcPr>
            <w:tcW w:w="1340" w:type="dxa"/>
            <w:tcBorders>
              <w:top w:val="single" w:color="auto" w:sz="4" w:space="0"/>
              <w:left w:val="nil"/>
              <w:bottom w:val="single" w:color="auto" w:sz="4" w:space="0"/>
              <w:right w:val="single" w:color="auto" w:sz="4" w:space="0"/>
            </w:tcBorders>
            <w:vAlign w:val="center"/>
          </w:tcPr>
          <w:p w14:paraId="4F422EE0">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57DC2400">
            <w:pPr>
              <w:spacing w:line="360" w:lineRule="auto"/>
              <w:jc w:val="center"/>
              <w:rPr>
                <w:rFonts w:ascii="宋体" w:hAnsi="宋体" w:cs="宋体"/>
                <w:szCs w:val="21"/>
              </w:rPr>
            </w:pPr>
            <w:r>
              <w:rPr>
                <w:rFonts w:hint="eastAsia" w:ascii="宋体" w:hAnsi="宋体" w:cs="宋体"/>
              </w:rPr>
              <w:t>100-500</w:t>
            </w:r>
          </w:p>
        </w:tc>
        <w:tc>
          <w:tcPr>
            <w:tcW w:w="839" w:type="dxa"/>
            <w:tcBorders>
              <w:top w:val="single" w:color="auto" w:sz="4" w:space="0"/>
              <w:left w:val="nil"/>
              <w:bottom w:val="single" w:color="auto" w:sz="4" w:space="0"/>
              <w:right w:val="single" w:color="auto" w:sz="4" w:space="0"/>
            </w:tcBorders>
            <w:vAlign w:val="center"/>
          </w:tcPr>
          <w:p w14:paraId="5AC79B5A">
            <w:pPr>
              <w:spacing w:line="360" w:lineRule="auto"/>
              <w:jc w:val="center"/>
              <w:rPr>
                <w:rFonts w:ascii="宋体" w:hAnsi="宋体" w:cs="宋体"/>
                <w:szCs w:val="21"/>
              </w:rPr>
            </w:pPr>
          </w:p>
        </w:tc>
      </w:tr>
      <w:tr w14:paraId="6D09BE4F">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623525CA">
            <w:pPr>
              <w:spacing w:line="360" w:lineRule="auto"/>
              <w:jc w:val="center"/>
              <w:rPr>
                <w:rFonts w:ascii="宋体" w:hAnsi="宋体" w:cs="宋体"/>
                <w:szCs w:val="21"/>
              </w:rPr>
            </w:pPr>
            <w:r>
              <w:rPr>
                <w:rFonts w:hint="eastAsia" w:ascii="宋体" w:hAnsi="宋体" w:cs="宋体"/>
              </w:rPr>
              <w:t>38</w:t>
            </w:r>
          </w:p>
        </w:tc>
        <w:tc>
          <w:tcPr>
            <w:tcW w:w="599" w:type="dxa"/>
            <w:vMerge w:val="continue"/>
            <w:tcBorders>
              <w:top w:val="nil"/>
              <w:left w:val="nil"/>
              <w:bottom w:val="single" w:color="auto" w:sz="4" w:space="0"/>
              <w:right w:val="single" w:color="auto" w:sz="4" w:space="0"/>
            </w:tcBorders>
            <w:vAlign w:val="center"/>
          </w:tcPr>
          <w:p w14:paraId="149CB6BD">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3A57CE57">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事故现场未及时排危</w:t>
            </w:r>
          </w:p>
        </w:tc>
        <w:tc>
          <w:tcPr>
            <w:tcW w:w="1340" w:type="dxa"/>
            <w:tcBorders>
              <w:top w:val="single" w:color="auto" w:sz="4" w:space="0"/>
              <w:left w:val="nil"/>
              <w:bottom w:val="single" w:color="auto" w:sz="4" w:space="0"/>
              <w:right w:val="single" w:color="auto" w:sz="4" w:space="0"/>
            </w:tcBorders>
            <w:vAlign w:val="center"/>
          </w:tcPr>
          <w:p w14:paraId="417B3730">
            <w:pPr>
              <w:spacing w:line="360" w:lineRule="auto"/>
              <w:jc w:val="center"/>
              <w:rPr>
                <w:rFonts w:ascii="宋体" w:hAnsi="宋体" w:cs="宋体"/>
                <w:szCs w:val="21"/>
              </w:rPr>
            </w:pPr>
            <w:r>
              <w:rPr>
                <w:rFonts w:hint="eastAsia" w:ascii="宋体" w:hAnsi="宋体" w:cs="宋体"/>
              </w:rPr>
              <w:t>24</w:t>
            </w:r>
          </w:p>
        </w:tc>
        <w:tc>
          <w:tcPr>
            <w:tcW w:w="1499" w:type="dxa"/>
            <w:tcBorders>
              <w:top w:val="single" w:color="auto" w:sz="4" w:space="0"/>
              <w:left w:val="nil"/>
              <w:bottom w:val="single" w:color="auto" w:sz="4" w:space="0"/>
              <w:right w:val="single" w:color="auto" w:sz="4" w:space="0"/>
            </w:tcBorders>
            <w:vAlign w:val="center"/>
          </w:tcPr>
          <w:p w14:paraId="69682DAC">
            <w:pPr>
              <w:spacing w:line="360" w:lineRule="auto"/>
              <w:jc w:val="center"/>
              <w:rPr>
                <w:rFonts w:ascii="宋体" w:hAnsi="宋体" w:cs="宋体"/>
                <w:szCs w:val="21"/>
              </w:rPr>
            </w:pPr>
            <w:r>
              <w:rPr>
                <w:rFonts w:hint="eastAsia" w:ascii="宋体" w:hAnsi="宋体" w:cs="宋体"/>
              </w:rPr>
              <w:t>200-2000</w:t>
            </w:r>
          </w:p>
        </w:tc>
        <w:tc>
          <w:tcPr>
            <w:tcW w:w="839" w:type="dxa"/>
            <w:tcBorders>
              <w:top w:val="single" w:color="auto" w:sz="4" w:space="0"/>
              <w:left w:val="nil"/>
              <w:bottom w:val="single" w:color="auto" w:sz="4" w:space="0"/>
              <w:right w:val="single" w:color="auto" w:sz="4" w:space="0"/>
            </w:tcBorders>
            <w:vAlign w:val="center"/>
          </w:tcPr>
          <w:p w14:paraId="125C26C8">
            <w:pPr>
              <w:spacing w:line="360" w:lineRule="auto"/>
              <w:jc w:val="center"/>
              <w:rPr>
                <w:rFonts w:ascii="宋体" w:hAnsi="宋体" w:cs="宋体"/>
                <w:szCs w:val="21"/>
              </w:rPr>
            </w:pPr>
          </w:p>
        </w:tc>
      </w:tr>
      <w:tr w14:paraId="7754EAD7">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33CBF845">
            <w:pPr>
              <w:spacing w:line="360" w:lineRule="auto"/>
              <w:jc w:val="center"/>
              <w:rPr>
                <w:rFonts w:ascii="宋体" w:hAnsi="宋体" w:cs="宋体"/>
                <w:szCs w:val="21"/>
              </w:rPr>
            </w:pPr>
            <w:r>
              <w:rPr>
                <w:rFonts w:hint="eastAsia" w:ascii="宋体" w:hAnsi="宋体" w:cs="宋体"/>
              </w:rPr>
              <w:t>39</w:t>
            </w:r>
          </w:p>
        </w:tc>
        <w:tc>
          <w:tcPr>
            <w:tcW w:w="599" w:type="dxa"/>
            <w:vMerge w:val="continue"/>
            <w:tcBorders>
              <w:top w:val="nil"/>
              <w:left w:val="nil"/>
              <w:bottom w:val="single" w:color="auto" w:sz="4" w:space="0"/>
              <w:right w:val="single" w:color="auto" w:sz="4" w:space="0"/>
            </w:tcBorders>
            <w:vAlign w:val="center"/>
          </w:tcPr>
          <w:p w14:paraId="023C9445">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59A7AF38">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作业时未着反光安全服装</w:t>
            </w:r>
          </w:p>
        </w:tc>
        <w:tc>
          <w:tcPr>
            <w:tcW w:w="1340" w:type="dxa"/>
            <w:tcBorders>
              <w:top w:val="single" w:color="auto" w:sz="4" w:space="0"/>
              <w:left w:val="nil"/>
              <w:bottom w:val="single" w:color="auto" w:sz="4" w:space="0"/>
              <w:right w:val="single" w:color="auto" w:sz="4" w:space="0"/>
            </w:tcBorders>
            <w:vAlign w:val="center"/>
          </w:tcPr>
          <w:p w14:paraId="5FBCEBC2">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5FBDAFAC">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4B564ED3">
            <w:pPr>
              <w:spacing w:line="360" w:lineRule="auto"/>
              <w:jc w:val="center"/>
              <w:rPr>
                <w:rFonts w:ascii="宋体" w:hAnsi="宋体" w:cs="宋体"/>
                <w:szCs w:val="21"/>
              </w:rPr>
            </w:pPr>
            <w:r>
              <w:rPr>
                <w:rFonts w:hint="eastAsia" w:ascii="宋体" w:hAnsi="宋体" w:cs="宋体"/>
              </w:rPr>
              <w:t>人次</w:t>
            </w:r>
          </w:p>
        </w:tc>
      </w:tr>
      <w:tr w14:paraId="6C1246D4">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2777C510">
            <w:pPr>
              <w:spacing w:line="360" w:lineRule="auto"/>
              <w:jc w:val="center"/>
              <w:rPr>
                <w:rFonts w:ascii="宋体" w:hAnsi="宋体" w:cs="宋体"/>
                <w:szCs w:val="21"/>
              </w:rPr>
            </w:pPr>
            <w:r>
              <w:rPr>
                <w:rFonts w:hint="eastAsia" w:ascii="宋体" w:hAnsi="宋体" w:cs="宋体"/>
              </w:rPr>
              <w:t>40</w:t>
            </w:r>
          </w:p>
        </w:tc>
        <w:tc>
          <w:tcPr>
            <w:tcW w:w="599" w:type="dxa"/>
            <w:vMerge w:val="continue"/>
            <w:tcBorders>
              <w:top w:val="nil"/>
              <w:left w:val="nil"/>
              <w:bottom w:val="single" w:color="auto" w:sz="4" w:space="0"/>
              <w:right w:val="single" w:color="auto" w:sz="4" w:space="0"/>
            </w:tcBorders>
            <w:vAlign w:val="center"/>
          </w:tcPr>
          <w:p w14:paraId="1DE599E6">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4D127CFD">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作业时未按规定放置安全桶和设置安全带</w:t>
            </w:r>
          </w:p>
        </w:tc>
        <w:tc>
          <w:tcPr>
            <w:tcW w:w="1340" w:type="dxa"/>
            <w:tcBorders>
              <w:top w:val="single" w:color="auto" w:sz="4" w:space="0"/>
              <w:left w:val="nil"/>
              <w:bottom w:val="single" w:color="auto" w:sz="4" w:space="0"/>
              <w:right w:val="single" w:color="auto" w:sz="4" w:space="0"/>
            </w:tcBorders>
            <w:vAlign w:val="center"/>
          </w:tcPr>
          <w:p w14:paraId="658F09D6">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7D824858">
            <w:pPr>
              <w:spacing w:line="360" w:lineRule="auto"/>
              <w:jc w:val="center"/>
              <w:rPr>
                <w:rFonts w:ascii="宋体" w:hAnsi="宋体" w:cs="宋体"/>
                <w:szCs w:val="21"/>
              </w:rPr>
            </w:pPr>
            <w:r>
              <w:rPr>
                <w:rFonts w:hint="eastAsia" w:ascii="宋体" w:hAnsi="宋体" w:cs="宋体"/>
              </w:rPr>
              <w:t>100</w:t>
            </w:r>
          </w:p>
        </w:tc>
        <w:tc>
          <w:tcPr>
            <w:tcW w:w="839" w:type="dxa"/>
            <w:tcBorders>
              <w:top w:val="single" w:color="auto" w:sz="4" w:space="0"/>
              <w:left w:val="nil"/>
              <w:bottom w:val="single" w:color="auto" w:sz="4" w:space="0"/>
              <w:right w:val="single" w:color="auto" w:sz="4" w:space="0"/>
            </w:tcBorders>
            <w:vAlign w:val="center"/>
          </w:tcPr>
          <w:p w14:paraId="36E5C849">
            <w:pPr>
              <w:spacing w:line="360" w:lineRule="auto"/>
              <w:jc w:val="center"/>
              <w:rPr>
                <w:rFonts w:ascii="宋体" w:hAnsi="宋体" w:cs="宋体"/>
                <w:szCs w:val="21"/>
              </w:rPr>
            </w:pPr>
          </w:p>
        </w:tc>
      </w:tr>
      <w:tr w14:paraId="72A589FA">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7DB9AF52">
            <w:pPr>
              <w:spacing w:line="360" w:lineRule="auto"/>
              <w:jc w:val="center"/>
              <w:rPr>
                <w:rFonts w:ascii="宋体" w:hAnsi="宋体" w:cs="宋体"/>
                <w:szCs w:val="21"/>
              </w:rPr>
            </w:pPr>
            <w:r>
              <w:rPr>
                <w:rFonts w:hint="eastAsia" w:ascii="宋体" w:hAnsi="宋体" w:cs="宋体"/>
              </w:rPr>
              <w:t>41</w:t>
            </w:r>
          </w:p>
        </w:tc>
        <w:tc>
          <w:tcPr>
            <w:tcW w:w="599" w:type="dxa"/>
            <w:vMerge w:val="continue"/>
            <w:tcBorders>
              <w:top w:val="nil"/>
              <w:left w:val="nil"/>
              <w:bottom w:val="single" w:color="auto" w:sz="4" w:space="0"/>
              <w:right w:val="single" w:color="auto" w:sz="4" w:space="0"/>
            </w:tcBorders>
            <w:vAlign w:val="center"/>
          </w:tcPr>
          <w:p w14:paraId="32AE0782">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2F8D5192">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打药时未按规定着防护服、戴口罩等安全装备</w:t>
            </w:r>
          </w:p>
        </w:tc>
        <w:tc>
          <w:tcPr>
            <w:tcW w:w="1340" w:type="dxa"/>
            <w:tcBorders>
              <w:top w:val="single" w:color="auto" w:sz="4" w:space="0"/>
              <w:left w:val="nil"/>
              <w:bottom w:val="single" w:color="auto" w:sz="4" w:space="0"/>
              <w:right w:val="single" w:color="auto" w:sz="4" w:space="0"/>
            </w:tcBorders>
            <w:vAlign w:val="center"/>
          </w:tcPr>
          <w:p w14:paraId="330760A3">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4BEBBE20">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64C124CC">
            <w:pPr>
              <w:spacing w:line="360" w:lineRule="auto"/>
              <w:jc w:val="center"/>
              <w:rPr>
                <w:rFonts w:ascii="宋体" w:hAnsi="宋体" w:cs="宋体"/>
                <w:szCs w:val="21"/>
              </w:rPr>
            </w:pPr>
          </w:p>
        </w:tc>
      </w:tr>
      <w:tr w14:paraId="03F2927E">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73E915F8">
            <w:pPr>
              <w:spacing w:line="360" w:lineRule="auto"/>
              <w:jc w:val="center"/>
              <w:rPr>
                <w:rFonts w:ascii="宋体" w:hAnsi="宋体" w:cs="宋体"/>
                <w:szCs w:val="21"/>
              </w:rPr>
            </w:pPr>
            <w:r>
              <w:rPr>
                <w:rFonts w:hint="eastAsia" w:ascii="宋体" w:hAnsi="宋体" w:cs="宋体"/>
              </w:rPr>
              <w:t>42</w:t>
            </w:r>
          </w:p>
        </w:tc>
        <w:tc>
          <w:tcPr>
            <w:tcW w:w="599" w:type="dxa"/>
            <w:vMerge w:val="continue"/>
            <w:tcBorders>
              <w:top w:val="nil"/>
              <w:left w:val="nil"/>
              <w:bottom w:val="single" w:color="auto" w:sz="4" w:space="0"/>
              <w:right w:val="single" w:color="auto" w:sz="4" w:space="0"/>
            </w:tcBorders>
            <w:vAlign w:val="center"/>
          </w:tcPr>
          <w:p w14:paraId="2CCD2D8C">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416F9AF5">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高空和水车作业时未按规定捆绑安全绳</w:t>
            </w:r>
          </w:p>
        </w:tc>
        <w:tc>
          <w:tcPr>
            <w:tcW w:w="1340" w:type="dxa"/>
            <w:tcBorders>
              <w:top w:val="single" w:color="auto" w:sz="4" w:space="0"/>
              <w:left w:val="nil"/>
              <w:bottom w:val="single" w:color="auto" w:sz="4" w:space="0"/>
              <w:right w:val="single" w:color="auto" w:sz="4" w:space="0"/>
            </w:tcBorders>
            <w:vAlign w:val="center"/>
          </w:tcPr>
          <w:p w14:paraId="7005DE7C">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409438BE">
            <w:pPr>
              <w:spacing w:line="360" w:lineRule="auto"/>
              <w:jc w:val="center"/>
              <w:rPr>
                <w:rFonts w:ascii="宋体" w:hAnsi="宋体" w:cs="宋体"/>
                <w:szCs w:val="21"/>
              </w:rPr>
            </w:pPr>
            <w:r>
              <w:rPr>
                <w:rFonts w:hint="eastAsia" w:ascii="宋体" w:hAnsi="宋体" w:cs="宋体"/>
              </w:rPr>
              <w:t>100</w:t>
            </w:r>
          </w:p>
        </w:tc>
        <w:tc>
          <w:tcPr>
            <w:tcW w:w="839" w:type="dxa"/>
            <w:tcBorders>
              <w:top w:val="single" w:color="auto" w:sz="4" w:space="0"/>
              <w:left w:val="nil"/>
              <w:bottom w:val="single" w:color="auto" w:sz="4" w:space="0"/>
              <w:right w:val="single" w:color="auto" w:sz="4" w:space="0"/>
            </w:tcBorders>
            <w:vAlign w:val="center"/>
          </w:tcPr>
          <w:p w14:paraId="717358CD">
            <w:pPr>
              <w:spacing w:line="360" w:lineRule="auto"/>
              <w:jc w:val="center"/>
              <w:rPr>
                <w:rFonts w:ascii="宋体" w:hAnsi="宋体" w:cs="宋体"/>
                <w:szCs w:val="21"/>
              </w:rPr>
            </w:pPr>
          </w:p>
        </w:tc>
      </w:tr>
      <w:tr w14:paraId="5E1F1908">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63799724">
            <w:pPr>
              <w:spacing w:line="360" w:lineRule="auto"/>
              <w:jc w:val="center"/>
              <w:rPr>
                <w:rFonts w:ascii="宋体" w:hAnsi="宋体" w:cs="宋体"/>
                <w:szCs w:val="21"/>
              </w:rPr>
            </w:pPr>
            <w:r>
              <w:rPr>
                <w:rFonts w:hint="eastAsia" w:ascii="宋体" w:hAnsi="宋体" w:cs="宋体"/>
              </w:rPr>
              <w:t>43</w:t>
            </w:r>
          </w:p>
        </w:tc>
        <w:tc>
          <w:tcPr>
            <w:tcW w:w="599" w:type="dxa"/>
            <w:vMerge w:val="continue"/>
            <w:tcBorders>
              <w:top w:val="nil"/>
              <w:left w:val="nil"/>
              <w:bottom w:val="single" w:color="auto" w:sz="4" w:space="0"/>
              <w:right w:val="single" w:color="auto" w:sz="4" w:space="0"/>
            </w:tcBorders>
            <w:vAlign w:val="center"/>
          </w:tcPr>
          <w:p w14:paraId="5A646D3E">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1C175A89">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野蛮作业，与市民发生冲突</w:t>
            </w:r>
          </w:p>
        </w:tc>
        <w:tc>
          <w:tcPr>
            <w:tcW w:w="1340" w:type="dxa"/>
            <w:tcBorders>
              <w:top w:val="single" w:color="auto" w:sz="4" w:space="0"/>
              <w:left w:val="nil"/>
              <w:bottom w:val="single" w:color="auto" w:sz="4" w:space="0"/>
              <w:right w:val="single" w:color="auto" w:sz="4" w:space="0"/>
            </w:tcBorders>
            <w:vAlign w:val="center"/>
          </w:tcPr>
          <w:p w14:paraId="31F1D496">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5576664B">
            <w:pPr>
              <w:spacing w:line="360" w:lineRule="auto"/>
              <w:jc w:val="center"/>
              <w:rPr>
                <w:rFonts w:ascii="宋体" w:hAnsi="宋体" w:cs="宋体"/>
                <w:szCs w:val="21"/>
              </w:rPr>
            </w:pPr>
            <w:r>
              <w:rPr>
                <w:rFonts w:hint="eastAsia" w:ascii="宋体" w:hAnsi="宋体" w:cs="宋体"/>
              </w:rPr>
              <w:t>100</w:t>
            </w:r>
          </w:p>
        </w:tc>
        <w:tc>
          <w:tcPr>
            <w:tcW w:w="839" w:type="dxa"/>
            <w:tcBorders>
              <w:top w:val="single" w:color="auto" w:sz="4" w:space="0"/>
              <w:left w:val="nil"/>
              <w:bottom w:val="single" w:color="auto" w:sz="4" w:space="0"/>
              <w:right w:val="single" w:color="auto" w:sz="4" w:space="0"/>
            </w:tcBorders>
            <w:vAlign w:val="center"/>
          </w:tcPr>
          <w:p w14:paraId="5D2DC27F">
            <w:pPr>
              <w:spacing w:line="360" w:lineRule="auto"/>
              <w:jc w:val="center"/>
              <w:rPr>
                <w:rFonts w:ascii="宋体" w:hAnsi="宋体" w:cs="宋体"/>
                <w:szCs w:val="21"/>
              </w:rPr>
            </w:pPr>
          </w:p>
        </w:tc>
      </w:tr>
      <w:tr w14:paraId="10F52793">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5488070F">
            <w:pPr>
              <w:spacing w:line="360" w:lineRule="auto"/>
              <w:jc w:val="center"/>
              <w:rPr>
                <w:rFonts w:ascii="宋体" w:hAnsi="宋体" w:cs="宋体"/>
                <w:szCs w:val="21"/>
              </w:rPr>
            </w:pPr>
            <w:r>
              <w:rPr>
                <w:rFonts w:hint="eastAsia" w:ascii="宋体" w:hAnsi="宋体" w:cs="宋体"/>
              </w:rPr>
              <w:t>44</w:t>
            </w:r>
          </w:p>
        </w:tc>
        <w:tc>
          <w:tcPr>
            <w:tcW w:w="599" w:type="dxa"/>
            <w:vMerge w:val="restart"/>
            <w:tcBorders>
              <w:top w:val="nil"/>
              <w:left w:val="nil"/>
              <w:bottom w:val="single" w:color="auto" w:sz="4" w:space="0"/>
              <w:right w:val="single" w:color="auto" w:sz="4" w:space="0"/>
            </w:tcBorders>
            <w:vAlign w:val="center"/>
          </w:tcPr>
          <w:p w14:paraId="64B188AC">
            <w:pPr>
              <w:spacing w:line="360" w:lineRule="auto"/>
              <w:jc w:val="center"/>
              <w:rPr>
                <w:rFonts w:ascii="宋体" w:hAnsi="宋体" w:cs="宋体"/>
                <w:b/>
                <w:kern w:val="0"/>
                <w:szCs w:val="21"/>
              </w:rPr>
            </w:pPr>
            <w:r>
              <w:rPr>
                <w:rFonts w:hint="eastAsia" w:ascii="宋体" w:hAnsi="宋体" w:cs="宋体"/>
                <w:b/>
                <w:kern w:val="0"/>
              </w:rPr>
              <w:t>其他</w:t>
            </w:r>
          </w:p>
        </w:tc>
        <w:tc>
          <w:tcPr>
            <w:tcW w:w="4979" w:type="dxa"/>
            <w:tcBorders>
              <w:top w:val="single" w:color="auto" w:sz="4" w:space="0"/>
              <w:left w:val="nil"/>
              <w:bottom w:val="single" w:color="auto" w:sz="4" w:space="0"/>
              <w:right w:val="single" w:color="auto" w:sz="4" w:space="0"/>
            </w:tcBorders>
          </w:tcPr>
          <w:p w14:paraId="0A9DB074">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每月未按时报送下月工作计划</w:t>
            </w:r>
          </w:p>
        </w:tc>
        <w:tc>
          <w:tcPr>
            <w:tcW w:w="1340" w:type="dxa"/>
            <w:tcBorders>
              <w:top w:val="single" w:color="auto" w:sz="4" w:space="0"/>
              <w:left w:val="nil"/>
              <w:bottom w:val="single" w:color="auto" w:sz="4" w:space="0"/>
              <w:right w:val="single" w:color="auto" w:sz="4" w:space="0"/>
            </w:tcBorders>
            <w:vAlign w:val="center"/>
          </w:tcPr>
          <w:p w14:paraId="7198A809">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4E00A34A">
            <w:pPr>
              <w:spacing w:line="360" w:lineRule="auto"/>
              <w:jc w:val="center"/>
              <w:rPr>
                <w:rFonts w:ascii="宋体" w:hAnsi="宋体" w:cs="宋体"/>
                <w:szCs w:val="21"/>
              </w:rPr>
            </w:pPr>
            <w:r>
              <w:rPr>
                <w:rFonts w:hint="eastAsia" w:ascii="宋体" w:hAnsi="宋体" w:cs="宋体"/>
              </w:rPr>
              <w:t>200</w:t>
            </w:r>
          </w:p>
        </w:tc>
        <w:tc>
          <w:tcPr>
            <w:tcW w:w="839" w:type="dxa"/>
            <w:tcBorders>
              <w:top w:val="single" w:color="auto" w:sz="4" w:space="0"/>
              <w:left w:val="nil"/>
              <w:bottom w:val="single" w:color="auto" w:sz="4" w:space="0"/>
              <w:right w:val="single" w:color="auto" w:sz="4" w:space="0"/>
            </w:tcBorders>
            <w:vAlign w:val="center"/>
          </w:tcPr>
          <w:p w14:paraId="298ADC02">
            <w:pPr>
              <w:spacing w:line="360" w:lineRule="auto"/>
              <w:jc w:val="center"/>
              <w:rPr>
                <w:rFonts w:ascii="宋体" w:hAnsi="宋体" w:cs="宋体"/>
                <w:szCs w:val="21"/>
              </w:rPr>
            </w:pPr>
          </w:p>
        </w:tc>
      </w:tr>
      <w:tr w14:paraId="54B4F9A6">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387762FD">
            <w:pPr>
              <w:spacing w:line="360" w:lineRule="auto"/>
              <w:jc w:val="center"/>
              <w:rPr>
                <w:rFonts w:ascii="宋体" w:hAnsi="宋体" w:cs="宋体"/>
                <w:szCs w:val="21"/>
              </w:rPr>
            </w:pPr>
            <w:r>
              <w:rPr>
                <w:rFonts w:hint="eastAsia" w:ascii="宋体" w:hAnsi="宋体" w:cs="宋体"/>
              </w:rPr>
              <w:t>45</w:t>
            </w:r>
          </w:p>
        </w:tc>
        <w:tc>
          <w:tcPr>
            <w:tcW w:w="599" w:type="dxa"/>
            <w:vMerge w:val="continue"/>
            <w:tcBorders>
              <w:top w:val="nil"/>
              <w:left w:val="nil"/>
              <w:bottom w:val="single" w:color="auto" w:sz="4" w:space="0"/>
              <w:right w:val="single" w:color="auto" w:sz="4" w:space="0"/>
            </w:tcBorders>
            <w:vAlign w:val="center"/>
          </w:tcPr>
          <w:p w14:paraId="6275A701">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5A4EC70C">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每周未按时报送本周工作总结</w:t>
            </w:r>
          </w:p>
        </w:tc>
        <w:tc>
          <w:tcPr>
            <w:tcW w:w="1340" w:type="dxa"/>
            <w:tcBorders>
              <w:top w:val="single" w:color="auto" w:sz="4" w:space="0"/>
              <w:left w:val="nil"/>
              <w:bottom w:val="single" w:color="auto" w:sz="4" w:space="0"/>
              <w:right w:val="single" w:color="auto" w:sz="4" w:space="0"/>
            </w:tcBorders>
            <w:vAlign w:val="center"/>
          </w:tcPr>
          <w:p w14:paraId="402FF9AD">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1086E839">
            <w:pPr>
              <w:spacing w:line="360" w:lineRule="auto"/>
              <w:jc w:val="center"/>
              <w:rPr>
                <w:rFonts w:ascii="宋体" w:hAnsi="宋体" w:cs="宋体"/>
                <w:szCs w:val="21"/>
              </w:rPr>
            </w:pPr>
            <w:r>
              <w:rPr>
                <w:rFonts w:hint="eastAsia" w:ascii="宋体" w:hAnsi="宋体" w:cs="宋体"/>
              </w:rPr>
              <w:t>50</w:t>
            </w:r>
          </w:p>
        </w:tc>
        <w:tc>
          <w:tcPr>
            <w:tcW w:w="839" w:type="dxa"/>
            <w:tcBorders>
              <w:top w:val="single" w:color="auto" w:sz="4" w:space="0"/>
              <w:left w:val="nil"/>
              <w:bottom w:val="single" w:color="auto" w:sz="4" w:space="0"/>
              <w:right w:val="single" w:color="auto" w:sz="4" w:space="0"/>
            </w:tcBorders>
            <w:vAlign w:val="center"/>
          </w:tcPr>
          <w:p w14:paraId="3A76481B">
            <w:pPr>
              <w:spacing w:line="360" w:lineRule="auto"/>
              <w:jc w:val="center"/>
              <w:rPr>
                <w:rFonts w:ascii="宋体" w:hAnsi="宋体" w:cs="宋体"/>
                <w:szCs w:val="21"/>
              </w:rPr>
            </w:pPr>
          </w:p>
        </w:tc>
      </w:tr>
      <w:tr w14:paraId="5956CA8E">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23884F82">
            <w:pPr>
              <w:spacing w:line="360" w:lineRule="auto"/>
              <w:jc w:val="center"/>
              <w:rPr>
                <w:rFonts w:ascii="宋体" w:hAnsi="宋体" w:cs="宋体"/>
                <w:szCs w:val="21"/>
              </w:rPr>
            </w:pPr>
            <w:r>
              <w:rPr>
                <w:rFonts w:hint="eastAsia" w:ascii="宋体" w:hAnsi="宋体" w:cs="宋体"/>
              </w:rPr>
              <w:t>46</w:t>
            </w:r>
          </w:p>
        </w:tc>
        <w:tc>
          <w:tcPr>
            <w:tcW w:w="599" w:type="dxa"/>
            <w:vMerge w:val="continue"/>
            <w:tcBorders>
              <w:top w:val="nil"/>
              <w:left w:val="nil"/>
              <w:bottom w:val="single" w:color="auto" w:sz="4" w:space="0"/>
              <w:right w:val="single" w:color="auto" w:sz="4" w:space="0"/>
            </w:tcBorders>
            <w:vAlign w:val="center"/>
          </w:tcPr>
          <w:p w14:paraId="22C14F07">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171357C4">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未按甲方要求参加会议、活动及各类业务培训，迟到、早退、缺席等</w:t>
            </w:r>
          </w:p>
        </w:tc>
        <w:tc>
          <w:tcPr>
            <w:tcW w:w="1340" w:type="dxa"/>
            <w:tcBorders>
              <w:top w:val="single" w:color="auto" w:sz="4" w:space="0"/>
              <w:left w:val="nil"/>
              <w:bottom w:val="single" w:color="auto" w:sz="4" w:space="0"/>
              <w:right w:val="single" w:color="auto" w:sz="4" w:space="0"/>
            </w:tcBorders>
            <w:vAlign w:val="center"/>
          </w:tcPr>
          <w:p w14:paraId="62029638">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4AEEBC50">
            <w:pPr>
              <w:spacing w:line="360" w:lineRule="auto"/>
              <w:jc w:val="center"/>
              <w:rPr>
                <w:rFonts w:ascii="宋体" w:hAnsi="宋体" w:cs="宋体"/>
                <w:szCs w:val="21"/>
              </w:rPr>
            </w:pPr>
            <w:r>
              <w:rPr>
                <w:rFonts w:hint="eastAsia" w:ascii="宋体" w:hAnsi="宋体" w:cs="宋体"/>
              </w:rPr>
              <w:t>200</w:t>
            </w:r>
          </w:p>
        </w:tc>
        <w:tc>
          <w:tcPr>
            <w:tcW w:w="839" w:type="dxa"/>
            <w:tcBorders>
              <w:top w:val="single" w:color="auto" w:sz="4" w:space="0"/>
              <w:left w:val="nil"/>
              <w:bottom w:val="single" w:color="auto" w:sz="4" w:space="0"/>
              <w:right w:val="single" w:color="auto" w:sz="4" w:space="0"/>
            </w:tcBorders>
            <w:vAlign w:val="center"/>
          </w:tcPr>
          <w:p w14:paraId="436BDBB3">
            <w:pPr>
              <w:spacing w:line="360" w:lineRule="auto"/>
              <w:jc w:val="center"/>
              <w:rPr>
                <w:rFonts w:ascii="宋体" w:hAnsi="宋体" w:cs="宋体"/>
                <w:szCs w:val="21"/>
              </w:rPr>
            </w:pPr>
          </w:p>
        </w:tc>
      </w:tr>
      <w:tr w14:paraId="03A36511">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000CFAF7">
            <w:pPr>
              <w:spacing w:line="360" w:lineRule="auto"/>
              <w:jc w:val="center"/>
              <w:rPr>
                <w:rFonts w:ascii="宋体" w:hAnsi="宋体" w:cs="宋体"/>
                <w:szCs w:val="21"/>
              </w:rPr>
            </w:pPr>
            <w:r>
              <w:rPr>
                <w:rFonts w:hint="eastAsia" w:ascii="宋体" w:hAnsi="宋体" w:cs="宋体"/>
              </w:rPr>
              <w:t>47</w:t>
            </w:r>
          </w:p>
        </w:tc>
        <w:tc>
          <w:tcPr>
            <w:tcW w:w="599" w:type="dxa"/>
            <w:vMerge w:val="continue"/>
            <w:tcBorders>
              <w:top w:val="nil"/>
              <w:left w:val="nil"/>
              <w:bottom w:val="single" w:color="auto" w:sz="4" w:space="0"/>
              <w:right w:val="single" w:color="auto" w:sz="4" w:space="0"/>
            </w:tcBorders>
            <w:vAlign w:val="center"/>
          </w:tcPr>
          <w:p w14:paraId="4D7DFD1B">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341DC456">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未保质保量完成甲方交办的临时性管护工作</w:t>
            </w:r>
          </w:p>
        </w:tc>
        <w:tc>
          <w:tcPr>
            <w:tcW w:w="1340" w:type="dxa"/>
            <w:tcBorders>
              <w:top w:val="single" w:color="auto" w:sz="4" w:space="0"/>
              <w:left w:val="nil"/>
              <w:bottom w:val="single" w:color="auto" w:sz="4" w:space="0"/>
              <w:right w:val="single" w:color="auto" w:sz="4" w:space="0"/>
            </w:tcBorders>
            <w:vAlign w:val="center"/>
          </w:tcPr>
          <w:p w14:paraId="092C1426">
            <w:pPr>
              <w:spacing w:line="360" w:lineRule="auto"/>
              <w:jc w:val="center"/>
              <w:rPr>
                <w:rFonts w:ascii="宋体" w:hAnsi="宋体" w:cs="宋体"/>
                <w:szCs w:val="21"/>
              </w:rPr>
            </w:pPr>
            <w:r>
              <w:rPr>
                <w:rFonts w:hint="eastAsia" w:ascii="宋体" w:hAnsi="宋体" w:cs="宋体"/>
              </w:rPr>
              <w:t>3</w:t>
            </w:r>
          </w:p>
        </w:tc>
        <w:tc>
          <w:tcPr>
            <w:tcW w:w="1499" w:type="dxa"/>
            <w:tcBorders>
              <w:top w:val="single" w:color="auto" w:sz="4" w:space="0"/>
              <w:left w:val="nil"/>
              <w:bottom w:val="single" w:color="auto" w:sz="4" w:space="0"/>
              <w:right w:val="single" w:color="auto" w:sz="4" w:space="0"/>
            </w:tcBorders>
            <w:vAlign w:val="center"/>
          </w:tcPr>
          <w:p w14:paraId="030B3031">
            <w:pPr>
              <w:spacing w:line="360" w:lineRule="auto"/>
              <w:jc w:val="center"/>
              <w:rPr>
                <w:rFonts w:ascii="宋体" w:hAnsi="宋体" w:cs="宋体"/>
                <w:szCs w:val="21"/>
              </w:rPr>
            </w:pPr>
            <w:r>
              <w:rPr>
                <w:rFonts w:hint="eastAsia" w:ascii="宋体" w:hAnsi="宋体" w:cs="宋体"/>
              </w:rPr>
              <w:t>500-5000</w:t>
            </w:r>
          </w:p>
        </w:tc>
        <w:tc>
          <w:tcPr>
            <w:tcW w:w="839" w:type="dxa"/>
            <w:tcBorders>
              <w:top w:val="single" w:color="auto" w:sz="4" w:space="0"/>
              <w:left w:val="nil"/>
              <w:bottom w:val="single" w:color="auto" w:sz="4" w:space="0"/>
              <w:right w:val="single" w:color="auto" w:sz="4" w:space="0"/>
            </w:tcBorders>
            <w:vAlign w:val="center"/>
          </w:tcPr>
          <w:p w14:paraId="78A79B04">
            <w:pPr>
              <w:spacing w:line="360" w:lineRule="auto"/>
              <w:jc w:val="center"/>
              <w:rPr>
                <w:rFonts w:ascii="宋体" w:hAnsi="宋体" w:cs="宋体"/>
                <w:szCs w:val="21"/>
              </w:rPr>
            </w:pPr>
          </w:p>
        </w:tc>
      </w:tr>
      <w:tr w14:paraId="2EF3327E">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71212B7A">
            <w:pPr>
              <w:spacing w:line="360" w:lineRule="auto"/>
              <w:jc w:val="center"/>
              <w:rPr>
                <w:rFonts w:ascii="宋体" w:hAnsi="宋体" w:cs="宋体"/>
                <w:szCs w:val="21"/>
              </w:rPr>
            </w:pPr>
            <w:r>
              <w:rPr>
                <w:rFonts w:hint="eastAsia" w:ascii="宋体" w:hAnsi="宋体" w:cs="宋体"/>
              </w:rPr>
              <w:t>48</w:t>
            </w:r>
          </w:p>
        </w:tc>
        <w:tc>
          <w:tcPr>
            <w:tcW w:w="599" w:type="dxa"/>
            <w:vMerge w:val="continue"/>
            <w:tcBorders>
              <w:top w:val="nil"/>
              <w:left w:val="nil"/>
              <w:bottom w:val="single" w:color="auto" w:sz="4" w:space="0"/>
              <w:right w:val="single" w:color="auto" w:sz="4" w:space="0"/>
            </w:tcBorders>
            <w:vAlign w:val="center"/>
          </w:tcPr>
          <w:p w14:paraId="75BF5670">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1C9542C0">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上级领导、相关部门、社会、居民反映管护存在问题，因处理不及时造成媒体曝光</w:t>
            </w:r>
          </w:p>
        </w:tc>
        <w:tc>
          <w:tcPr>
            <w:tcW w:w="1340" w:type="dxa"/>
            <w:tcBorders>
              <w:top w:val="single" w:color="auto" w:sz="4" w:space="0"/>
              <w:left w:val="nil"/>
              <w:bottom w:val="single" w:color="auto" w:sz="4" w:space="0"/>
              <w:right w:val="single" w:color="auto" w:sz="4" w:space="0"/>
            </w:tcBorders>
            <w:vAlign w:val="center"/>
          </w:tcPr>
          <w:p w14:paraId="1A339902">
            <w:pPr>
              <w:spacing w:line="360" w:lineRule="auto"/>
              <w:jc w:val="center"/>
              <w:rPr>
                <w:rFonts w:ascii="宋体" w:hAnsi="宋体" w:cs="宋体"/>
                <w:szCs w:val="21"/>
              </w:rPr>
            </w:pPr>
            <w:r>
              <w:rPr>
                <w:rFonts w:hint="eastAsia" w:ascii="宋体" w:hAnsi="宋体" w:cs="宋体"/>
              </w:rPr>
              <w:t>1</w:t>
            </w:r>
          </w:p>
        </w:tc>
        <w:tc>
          <w:tcPr>
            <w:tcW w:w="1499" w:type="dxa"/>
            <w:tcBorders>
              <w:top w:val="single" w:color="auto" w:sz="4" w:space="0"/>
              <w:left w:val="nil"/>
              <w:bottom w:val="single" w:color="auto" w:sz="4" w:space="0"/>
              <w:right w:val="single" w:color="auto" w:sz="4" w:space="0"/>
            </w:tcBorders>
            <w:vAlign w:val="center"/>
          </w:tcPr>
          <w:p w14:paraId="1FEECA1F">
            <w:pPr>
              <w:spacing w:line="360" w:lineRule="auto"/>
              <w:jc w:val="center"/>
              <w:rPr>
                <w:rFonts w:ascii="宋体" w:hAnsi="宋体" w:cs="宋体"/>
                <w:szCs w:val="21"/>
              </w:rPr>
            </w:pPr>
            <w:r>
              <w:rPr>
                <w:rFonts w:hint="eastAsia" w:ascii="宋体" w:hAnsi="宋体" w:cs="宋体"/>
              </w:rPr>
              <w:t>500-5000</w:t>
            </w:r>
          </w:p>
        </w:tc>
        <w:tc>
          <w:tcPr>
            <w:tcW w:w="839" w:type="dxa"/>
            <w:tcBorders>
              <w:top w:val="single" w:color="auto" w:sz="4" w:space="0"/>
              <w:left w:val="nil"/>
              <w:bottom w:val="single" w:color="auto" w:sz="4" w:space="0"/>
              <w:right w:val="single" w:color="auto" w:sz="4" w:space="0"/>
            </w:tcBorders>
            <w:vAlign w:val="center"/>
          </w:tcPr>
          <w:p w14:paraId="07459127">
            <w:pPr>
              <w:spacing w:line="360" w:lineRule="auto"/>
              <w:jc w:val="center"/>
              <w:rPr>
                <w:rFonts w:ascii="宋体" w:hAnsi="宋体" w:cs="宋体"/>
                <w:szCs w:val="21"/>
              </w:rPr>
            </w:pPr>
          </w:p>
        </w:tc>
      </w:tr>
      <w:tr w14:paraId="660B5A7B">
        <w:tblPrEx>
          <w:tblCellMar>
            <w:top w:w="0" w:type="dxa"/>
            <w:left w:w="108" w:type="dxa"/>
            <w:bottom w:w="0" w:type="dxa"/>
            <w:right w:w="108" w:type="dxa"/>
          </w:tblCellMar>
        </w:tblPrEx>
        <w:trPr>
          <w:jc w:val="center"/>
        </w:trPr>
        <w:tc>
          <w:tcPr>
            <w:tcW w:w="632" w:type="dxa"/>
            <w:tcBorders>
              <w:top w:val="single" w:color="auto" w:sz="4" w:space="0"/>
              <w:left w:val="single" w:color="auto" w:sz="4" w:space="0"/>
              <w:bottom w:val="single" w:color="auto" w:sz="4" w:space="0"/>
              <w:right w:val="single" w:color="auto" w:sz="4" w:space="0"/>
            </w:tcBorders>
            <w:vAlign w:val="center"/>
          </w:tcPr>
          <w:p w14:paraId="09306B96">
            <w:pPr>
              <w:spacing w:line="360" w:lineRule="auto"/>
              <w:jc w:val="center"/>
              <w:rPr>
                <w:rFonts w:ascii="宋体" w:hAnsi="宋体" w:cs="宋体"/>
                <w:szCs w:val="21"/>
              </w:rPr>
            </w:pPr>
            <w:r>
              <w:rPr>
                <w:rFonts w:hint="eastAsia" w:ascii="宋体" w:hAnsi="宋体" w:cs="宋体"/>
              </w:rPr>
              <w:t>49</w:t>
            </w:r>
          </w:p>
        </w:tc>
        <w:tc>
          <w:tcPr>
            <w:tcW w:w="599" w:type="dxa"/>
            <w:vMerge w:val="continue"/>
            <w:tcBorders>
              <w:top w:val="nil"/>
              <w:left w:val="nil"/>
              <w:bottom w:val="single" w:color="auto" w:sz="4" w:space="0"/>
              <w:right w:val="single" w:color="auto" w:sz="4" w:space="0"/>
            </w:tcBorders>
            <w:vAlign w:val="center"/>
          </w:tcPr>
          <w:p w14:paraId="5E19C1B6">
            <w:pPr>
              <w:spacing w:line="360" w:lineRule="auto"/>
              <w:rPr>
                <w:sz w:val="20"/>
                <w:szCs w:val="20"/>
              </w:rPr>
            </w:pPr>
          </w:p>
        </w:tc>
        <w:tc>
          <w:tcPr>
            <w:tcW w:w="4979" w:type="dxa"/>
            <w:tcBorders>
              <w:top w:val="single" w:color="auto" w:sz="4" w:space="0"/>
              <w:left w:val="nil"/>
              <w:bottom w:val="single" w:color="auto" w:sz="4" w:space="0"/>
              <w:right w:val="single" w:color="auto" w:sz="4" w:space="0"/>
            </w:tcBorders>
          </w:tcPr>
          <w:p w14:paraId="7F77A4C6">
            <w:pPr>
              <w:autoSpaceDE w:val="0"/>
              <w:autoSpaceDN w:val="0"/>
              <w:adjustRightInd w:val="0"/>
              <w:snapToGrid w:val="0"/>
              <w:spacing w:line="360" w:lineRule="auto"/>
              <w:rPr>
                <w:rFonts w:ascii="宋体" w:hAnsi="宋体" w:cs="宋体"/>
                <w:kern w:val="0"/>
                <w:szCs w:val="21"/>
              </w:rPr>
            </w:pPr>
            <w:r>
              <w:rPr>
                <w:rFonts w:hint="eastAsia" w:ascii="宋体" w:hAnsi="宋体" w:cs="宋体"/>
                <w:kern w:val="0"/>
              </w:rPr>
              <w:t>对甲方管理人员的安排、指示进行及时的处理并作出回复</w:t>
            </w:r>
          </w:p>
        </w:tc>
        <w:tc>
          <w:tcPr>
            <w:tcW w:w="1340" w:type="dxa"/>
            <w:tcBorders>
              <w:top w:val="single" w:color="auto" w:sz="4" w:space="0"/>
              <w:left w:val="nil"/>
              <w:bottom w:val="single" w:color="auto" w:sz="4" w:space="0"/>
              <w:right w:val="single" w:color="auto" w:sz="4" w:space="0"/>
            </w:tcBorders>
            <w:vAlign w:val="center"/>
          </w:tcPr>
          <w:p w14:paraId="1967B8A3">
            <w:pPr>
              <w:spacing w:line="360" w:lineRule="auto"/>
              <w:jc w:val="center"/>
              <w:rPr>
                <w:rFonts w:ascii="宋体" w:hAnsi="宋体" w:cs="宋体"/>
                <w:kern w:val="0"/>
                <w:szCs w:val="21"/>
              </w:rPr>
            </w:pPr>
            <w:r>
              <w:rPr>
                <w:rFonts w:hint="eastAsia" w:ascii="宋体" w:hAnsi="宋体" w:cs="宋体"/>
                <w:kern w:val="0"/>
              </w:rPr>
              <w:t>在现场管理人员规定时间内完成</w:t>
            </w:r>
          </w:p>
        </w:tc>
        <w:tc>
          <w:tcPr>
            <w:tcW w:w="1499" w:type="dxa"/>
            <w:tcBorders>
              <w:top w:val="single" w:color="auto" w:sz="4" w:space="0"/>
              <w:left w:val="nil"/>
              <w:bottom w:val="single" w:color="auto" w:sz="4" w:space="0"/>
              <w:right w:val="single" w:color="auto" w:sz="4" w:space="0"/>
            </w:tcBorders>
            <w:vAlign w:val="center"/>
          </w:tcPr>
          <w:p w14:paraId="1B0B1BEE">
            <w:pPr>
              <w:spacing w:line="360" w:lineRule="auto"/>
              <w:jc w:val="center"/>
              <w:rPr>
                <w:rFonts w:ascii="宋体" w:hAnsi="宋体" w:cs="宋体"/>
                <w:szCs w:val="21"/>
              </w:rPr>
            </w:pPr>
            <w:r>
              <w:rPr>
                <w:rFonts w:hint="eastAsia" w:ascii="宋体" w:hAnsi="宋体" w:cs="宋体"/>
              </w:rPr>
              <w:t>100</w:t>
            </w:r>
          </w:p>
        </w:tc>
        <w:tc>
          <w:tcPr>
            <w:tcW w:w="839" w:type="dxa"/>
            <w:tcBorders>
              <w:top w:val="single" w:color="auto" w:sz="4" w:space="0"/>
              <w:left w:val="nil"/>
              <w:bottom w:val="single" w:color="auto" w:sz="4" w:space="0"/>
              <w:right w:val="single" w:color="auto" w:sz="4" w:space="0"/>
            </w:tcBorders>
            <w:vAlign w:val="center"/>
          </w:tcPr>
          <w:p w14:paraId="26B67DBE">
            <w:pPr>
              <w:spacing w:line="360" w:lineRule="auto"/>
              <w:jc w:val="center"/>
              <w:rPr>
                <w:rFonts w:ascii="宋体" w:hAnsi="宋体" w:cs="宋体"/>
                <w:szCs w:val="21"/>
              </w:rPr>
            </w:pPr>
          </w:p>
        </w:tc>
      </w:tr>
    </w:tbl>
    <w:p w14:paraId="424BA019">
      <w:pPr>
        <w:spacing w:line="360" w:lineRule="auto"/>
        <w:rPr>
          <w:rFonts w:hAnsi="宋体"/>
          <w:sz w:val="24"/>
        </w:rPr>
      </w:pPr>
    </w:p>
    <w:p w14:paraId="536833DA">
      <w:pPr>
        <w:snapToGrid w:val="0"/>
        <w:spacing w:line="360" w:lineRule="auto"/>
        <w:jc w:val="center"/>
        <w:rPr>
          <w:rFonts w:ascii="宋体" w:hAnsi="宋体" w:cs="宋体"/>
          <w:b/>
          <w:sz w:val="36"/>
          <w:szCs w:val="36"/>
        </w:rPr>
      </w:pPr>
      <w:r>
        <w:rPr>
          <w:rFonts w:hAnsi="宋体"/>
          <w:sz w:val="24"/>
        </w:rPr>
        <w:br w:type="page"/>
      </w:r>
      <w:r>
        <w:rPr>
          <w:rFonts w:hint="eastAsia" w:ascii="宋体" w:hAnsi="宋体" w:cs="宋体"/>
          <w:b/>
          <w:sz w:val="36"/>
          <w:szCs w:val="36"/>
        </w:rPr>
        <w:t>每日巡查记录表</w:t>
      </w:r>
    </w:p>
    <w:tbl>
      <w:tblPr>
        <w:tblStyle w:val="14"/>
        <w:tblW w:w="0" w:type="auto"/>
        <w:jc w:val="center"/>
        <w:tblLayout w:type="fixed"/>
        <w:tblCellMar>
          <w:top w:w="0" w:type="dxa"/>
          <w:left w:w="108" w:type="dxa"/>
          <w:bottom w:w="0" w:type="dxa"/>
          <w:right w:w="108" w:type="dxa"/>
        </w:tblCellMar>
      </w:tblPr>
      <w:tblGrid>
        <w:gridCol w:w="455"/>
        <w:gridCol w:w="962"/>
        <w:gridCol w:w="1011"/>
        <w:gridCol w:w="1125"/>
        <w:gridCol w:w="1500"/>
        <w:gridCol w:w="2012"/>
        <w:gridCol w:w="1050"/>
        <w:gridCol w:w="875"/>
      </w:tblGrid>
      <w:tr w14:paraId="15253B45">
        <w:tblPrEx>
          <w:tblCellMar>
            <w:top w:w="0" w:type="dxa"/>
            <w:left w:w="108" w:type="dxa"/>
            <w:bottom w:w="0" w:type="dxa"/>
            <w:right w:w="108" w:type="dxa"/>
          </w:tblCellMar>
        </w:tblPrEx>
        <w:trPr>
          <w:jc w:val="center"/>
        </w:trPr>
        <w:tc>
          <w:tcPr>
            <w:tcW w:w="455" w:type="dxa"/>
            <w:tcBorders>
              <w:top w:val="single" w:color="auto" w:sz="4" w:space="0"/>
              <w:left w:val="single" w:color="auto" w:sz="4" w:space="0"/>
              <w:bottom w:val="single" w:color="auto" w:sz="4" w:space="0"/>
              <w:right w:val="single" w:color="auto" w:sz="4" w:space="0"/>
            </w:tcBorders>
            <w:vAlign w:val="center"/>
          </w:tcPr>
          <w:p w14:paraId="399A3FE1">
            <w:pPr>
              <w:snapToGrid w:val="0"/>
              <w:spacing w:line="360" w:lineRule="auto"/>
              <w:jc w:val="center"/>
              <w:rPr>
                <w:rFonts w:ascii="宋体" w:hAnsi="宋体" w:cs="宋体"/>
                <w:szCs w:val="21"/>
              </w:rPr>
            </w:pPr>
            <w:r>
              <w:rPr>
                <w:rFonts w:hint="eastAsia" w:ascii="宋体" w:hAnsi="宋体" w:cs="宋体"/>
              </w:rPr>
              <w:t>时间</w:t>
            </w:r>
          </w:p>
        </w:tc>
        <w:tc>
          <w:tcPr>
            <w:tcW w:w="962" w:type="dxa"/>
            <w:tcBorders>
              <w:top w:val="single" w:color="auto" w:sz="4" w:space="0"/>
              <w:left w:val="nil"/>
              <w:bottom w:val="single" w:color="auto" w:sz="4" w:space="0"/>
              <w:right w:val="single" w:color="auto" w:sz="4" w:space="0"/>
            </w:tcBorders>
            <w:vAlign w:val="center"/>
          </w:tcPr>
          <w:p w14:paraId="3548DF9B">
            <w:pPr>
              <w:snapToGrid w:val="0"/>
              <w:spacing w:line="360" w:lineRule="auto"/>
              <w:jc w:val="center"/>
              <w:rPr>
                <w:rFonts w:ascii="宋体" w:hAnsi="宋体" w:cs="宋体"/>
                <w:szCs w:val="21"/>
              </w:rPr>
            </w:pPr>
            <w:r>
              <w:rPr>
                <w:rFonts w:hint="eastAsia" w:ascii="宋体" w:hAnsi="宋体" w:cs="宋体"/>
              </w:rPr>
              <w:t>地点</w:t>
            </w:r>
          </w:p>
        </w:tc>
        <w:tc>
          <w:tcPr>
            <w:tcW w:w="1011" w:type="dxa"/>
            <w:tcBorders>
              <w:top w:val="single" w:color="auto" w:sz="4" w:space="0"/>
              <w:left w:val="nil"/>
              <w:bottom w:val="single" w:color="auto" w:sz="4" w:space="0"/>
              <w:right w:val="single" w:color="auto" w:sz="4" w:space="0"/>
            </w:tcBorders>
            <w:vAlign w:val="center"/>
          </w:tcPr>
          <w:p w14:paraId="74173B7F">
            <w:pPr>
              <w:snapToGrid w:val="0"/>
              <w:spacing w:line="360" w:lineRule="auto"/>
              <w:jc w:val="center"/>
              <w:rPr>
                <w:rFonts w:ascii="宋体" w:hAnsi="宋体" w:cs="宋体"/>
                <w:szCs w:val="21"/>
              </w:rPr>
            </w:pPr>
            <w:r>
              <w:rPr>
                <w:rFonts w:hint="eastAsia" w:ascii="宋体" w:hAnsi="宋体" w:cs="宋体"/>
              </w:rPr>
              <w:t>问题</w:t>
            </w:r>
          </w:p>
        </w:tc>
        <w:tc>
          <w:tcPr>
            <w:tcW w:w="1125" w:type="dxa"/>
            <w:tcBorders>
              <w:top w:val="single" w:color="auto" w:sz="4" w:space="0"/>
              <w:left w:val="nil"/>
              <w:bottom w:val="single" w:color="auto" w:sz="4" w:space="0"/>
              <w:right w:val="single" w:color="auto" w:sz="4" w:space="0"/>
            </w:tcBorders>
            <w:vAlign w:val="center"/>
          </w:tcPr>
          <w:p w14:paraId="1B026B2B">
            <w:pPr>
              <w:snapToGrid w:val="0"/>
              <w:spacing w:line="360" w:lineRule="auto"/>
              <w:jc w:val="center"/>
              <w:rPr>
                <w:rFonts w:ascii="宋体" w:hAnsi="宋体" w:cs="宋体"/>
                <w:szCs w:val="21"/>
              </w:rPr>
            </w:pPr>
            <w:r>
              <w:rPr>
                <w:rFonts w:hint="eastAsia" w:ascii="宋体" w:hAnsi="宋体" w:cs="宋体"/>
              </w:rPr>
              <w:t>整改意见</w:t>
            </w:r>
          </w:p>
        </w:tc>
        <w:tc>
          <w:tcPr>
            <w:tcW w:w="1500" w:type="dxa"/>
            <w:tcBorders>
              <w:top w:val="single" w:color="auto" w:sz="4" w:space="0"/>
              <w:left w:val="nil"/>
              <w:bottom w:val="single" w:color="auto" w:sz="4" w:space="0"/>
              <w:right w:val="single" w:color="auto" w:sz="4" w:space="0"/>
            </w:tcBorders>
            <w:vAlign w:val="center"/>
          </w:tcPr>
          <w:p w14:paraId="2CCDC199">
            <w:pPr>
              <w:snapToGrid w:val="0"/>
              <w:spacing w:line="360" w:lineRule="auto"/>
              <w:jc w:val="center"/>
              <w:rPr>
                <w:rFonts w:ascii="宋体" w:hAnsi="宋体" w:cs="宋体"/>
                <w:szCs w:val="21"/>
              </w:rPr>
            </w:pPr>
            <w:r>
              <w:rPr>
                <w:rFonts w:hint="eastAsia" w:ascii="宋体" w:hAnsi="宋体" w:cs="宋体"/>
              </w:rPr>
              <w:t>图片</w:t>
            </w:r>
          </w:p>
        </w:tc>
        <w:tc>
          <w:tcPr>
            <w:tcW w:w="2012" w:type="dxa"/>
            <w:tcBorders>
              <w:top w:val="single" w:color="auto" w:sz="4" w:space="0"/>
              <w:left w:val="nil"/>
              <w:bottom w:val="single" w:color="auto" w:sz="4" w:space="0"/>
              <w:right w:val="single" w:color="auto" w:sz="4" w:space="0"/>
            </w:tcBorders>
            <w:vAlign w:val="center"/>
          </w:tcPr>
          <w:p w14:paraId="78BCC1D0">
            <w:pPr>
              <w:snapToGrid w:val="0"/>
              <w:spacing w:line="360" w:lineRule="auto"/>
              <w:jc w:val="center"/>
              <w:rPr>
                <w:rFonts w:ascii="宋体" w:hAnsi="宋体" w:cs="宋体"/>
                <w:szCs w:val="21"/>
              </w:rPr>
            </w:pPr>
            <w:r>
              <w:rPr>
                <w:rFonts w:hint="eastAsia" w:ascii="宋体" w:hAnsi="宋体" w:cs="宋体"/>
              </w:rPr>
              <w:t>所属公司</w:t>
            </w:r>
          </w:p>
        </w:tc>
        <w:tc>
          <w:tcPr>
            <w:tcW w:w="1050" w:type="dxa"/>
            <w:tcBorders>
              <w:top w:val="single" w:color="auto" w:sz="4" w:space="0"/>
              <w:left w:val="nil"/>
              <w:bottom w:val="single" w:color="auto" w:sz="4" w:space="0"/>
              <w:right w:val="single" w:color="auto" w:sz="4" w:space="0"/>
            </w:tcBorders>
            <w:vAlign w:val="center"/>
          </w:tcPr>
          <w:p w14:paraId="353CDDDD">
            <w:pPr>
              <w:snapToGrid w:val="0"/>
              <w:spacing w:line="360" w:lineRule="auto"/>
              <w:jc w:val="center"/>
              <w:rPr>
                <w:rFonts w:ascii="宋体" w:hAnsi="宋体" w:cs="宋体"/>
                <w:szCs w:val="21"/>
              </w:rPr>
            </w:pPr>
            <w:r>
              <w:rPr>
                <w:rFonts w:hint="eastAsia" w:ascii="宋体" w:hAnsi="宋体" w:cs="宋体"/>
              </w:rPr>
              <w:t>巡查人</w:t>
            </w:r>
          </w:p>
        </w:tc>
        <w:tc>
          <w:tcPr>
            <w:tcW w:w="875" w:type="dxa"/>
            <w:tcBorders>
              <w:top w:val="single" w:color="auto" w:sz="4" w:space="0"/>
              <w:left w:val="nil"/>
              <w:bottom w:val="single" w:color="auto" w:sz="4" w:space="0"/>
              <w:right w:val="single" w:color="auto" w:sz="4" w:space="0"/>
            </w:tcBorders>
            <w:vAlign w:val="center"/>
          </w:tcPr>
          <w:p w14:paraId="6C98638C">
            <w:pPr>
              <w:snapToGrid w:val="0"/>
              <w:spacing w:line="360" w:lineRule="auto"/>
              <w:jc w:val="center"/>
              <w:rPr>
                <w:rFonts w:ascii="宋体" w:hAnsi="宋体" w:cs="宋体"/>
                <w:szCs w:val="21"/>
              </w:rPr>
            </w:pPr>
            <w:r>
              <w:rPr>
                <w:rFonts w:hint="eastAsia" w:ascii="宋体" w:hAnsi="宋体" w:cs="宋体"/>
              </w:rPr>
              <w:t>备注</w:t>
            </w:r>
          </w:p>
        </w:tc>
      </w:tr>
      <w:tr w14:paraId="051DAE2F">
        <w:tblPrEx>
          <w:tblCellMar>
            <w:top w:w="0" w:type="dxa"/>
            <w:left w:w="108" w:type="dxa"/>
            <w:bottom w:w="0" w:type="dxa"/>
            <w:right w:w="108" w:type="dxa"/>
          </w:tblCellMar>
        </w:tblPrEx>
        <w:trPr>
          <w:trHeight w:val="997" w:hRule="atLeast"/>
          <w:jc w:val="center"/>
        </w:trPr>
        <w:tc>
          <w:tcPr>
            <w:tcW w:w="455" w:type="dxa"/>
            <w:tcBorders>
              <w:top w:val="single" w:color="auto" w:sz="4" w:space="0"/>
              <w:left w:val="single" w:color="auto" w:sz="4" w:space="0"/>
              <w:bottom w:val="single" w:color="auto" w:sz="4" w:space="0"/>
              <w:right w:val="single" w:color="auto" w:sz="4" w:space="0"/>
            </w:tcBorders>
            <w:vAlign w:val="center"/>
          </w:tcPr>
          <w:p w14:paraId="38E2D775">
            <w:pPr>
              <w:snapToGrid w:val="0"/>
              <w:spacing w:line="360" w:lineRule="auto"/>
              <w:jc w:val="center"/>
              <w:rPr>
                <w:rFonts w:ascii="宋体" w:hAnsi="宋体" w:cs="宋体"/>
                <w:szCs w:val="21"/>
              </w:rPr>
            </w:pPr>
          </w:p>
        </w:tc>
        <w:tc>
          <w:tcPr>
            <w:tcW w:w="962" w:type="dxa"/>
            <w:tcBorders>
              <w:top w:val="single" w:color="auto" w:sz="4" w:space="0"/>
              <w:left w:val="nil"/>
              <w:bottom w:val="single" w:color="auto" w:sz="4" w:space="0"/>
              <w:right w:val="single" w:color="auto" w:sz="4" w:space="0"/>
            </w:tcBorders>
            <w:vAlign w:val="center"/>
          </w:tcPr>
          <w:p w14:paraId="6037E68A">
            <w:pPr>
              <w:snapToGrid w:val="0"/>
              <w:spacing w:line="360" w:lineRule="auto"/>
              <w:jc w:val="center"/>
              <w:rPr>
                <w:rFonts w:ascii="宋体" w:hAnsi="宋体" w:cs="宋体"/>
                <w:szCs w:val="21"/>
              </w:rPr>
            </w:pPr>
          </w:p>
        </w:tc>
        <w:tc>
          <w:tcPr>
            <w:tcW w:w="1011" w:type="dxa"/>
            <w:tcBorders>
              <w:top w:val="single" w:color="auto" w:sz="4" w:space="0"/>
              <w:left w:val="nil"/>
              <w:bottom w:val="single" w:color="auto" w:sz="4" w:space="0"/>
              <w:right w:val="single" w:color="auto" w:sz="4" w:space="0"/>
            </w:tcBorders>
            <w:vAlign w:val="center"/>
          </w:tcPr>
          <w:p w14:paraId="7A9AF9DE">
            <w:pPr>
              <w:snapToGrid w:val="0"/>
              <w:spacing w:line="360" w:lineRule="auto"/>
              <w:jc w:val="center"/>
              <w:rPr>
                <w:rFonts w:ascii="宋体" w:hAnsi="宋体" w:cs="宋体"/>
                <w:szCs w:val="21"/>
              </w:rPr>
            </w:pPr>
          </w:p>
        </w:tc>
        <w:tc>
          <w:tcPr>
            <w:tcW w:w="1125" w:type="dxa"/>
            <w:tcBorders>
              <w:top w:val="single" w:color="auto" w:sz="4" w:space="0"/>
              <w:left w:val="nil"/>
              <w:bottom w:val="single" w:color="auto" w:sz="4" w:space="0"/>
              <w:right w:val="single" w:color="auto" w:sz="4" w:space="0"/>
            </w:tcBorders>
            <w:vAlign w:val="center"/>
          </w:tcPr>
          <w:p w14:paraId="009BC080">
            <w:pPr>
              <w:snapToGrid w:val="0"/>
              <w:spacing w:line="360" w:lineRule="auto"/>
              <w:jc w:val="center"/>
              <w:rPr>
                <w:rFonts w:ascii="宋体" w:hAnsi="宋体" w:cs="宋体"/>
                <w:szCs w:val="21"/>
              </w:rPr>
            </w:pPr>
          </w:p>
        </w:tc>
        <w:tc>
          <w:tcPr>
            <w:tcW w:w="1500" w:type="dxa"/>
            <w:tcBorders>
              <w:top w:val="single" w:color="auto" w:sz="4" w:space="0"/>
              <w:left w:val="nil"/>
              <w:bottom w:val="single" w:color="auto" w:sz="4" w:space="0"/>
              <w:right w:val="single" w:color="auto" w:sz="4" w:space="0"/>
            </w:tcBorders>
            <w:vAlign w:val="center"/>
          </w:tcPr>
          <w:p w14:paraId="60ED4D34">
            <w:pPr>
              <w:snapToGrid w:val="0"/>
              <w:spacing w:line="360" w:lineRule="auto"/>
              <w:jc w:val="center"/>
              <w:rPr>
                <w:rFonts w:ascii="宋体" w:hAnsi="宋体" w:cs="宋体"/>
                <w:szCs w:val="21"/>
              </w:rPr>
            </w:pPr>
          </w:p>
        </w:tc>
        <w:tc>
          <w:tcPr>
            <w:tcW w:w="2012" w:type="dxa"/>
            <w:tcBorders>
              <w:top w:val="single" w:color="auto" w:sz="4" w:space="0"/>
              <w:left w:val="nil"/>
              <w:bottom w:val="single" w:color="auto" w:sz="4" w:space="0"/>
              <w:right w:val="single" w:color="auto" w:sz="4" w:space="0"/>
            </w:tcBorders>
            <w:vAlign w:val="center"/>
          </w:tcPr>
          <w:p w14:paraId="51AD45C8">
            <w:pPr>
              <w:snapToGrid w:val="0"/>
              <w:spacing w:line="360" w:lineRule="auto"/>
              <w:jc w:val="center"/>
              <w:rPr>
                <w:rFonts w:ascii="宋体" w:hAnsi="宋体" w:cs="宋体"/>
                <w:szCs w:val="21"/>
              </w:rPr>
            </w:pPr>
          </w:p>
        </w:tc>
        <w:tc>
          <w:tcPr>
            <w:tcW w:w="1050" w:type="dxa"/>
            <w:tcBorders>
              <w:top w:val="single" w:color="auto" w:sz="4" w:space="0"/>
              <w:left w:val="nil"/>
              <w:bottom w:val="single" w:color="auto" w:sz="4" w:space="0"/>
              <w:right w:val="single" w:color="auto" w:sz="4" w:space="0"/>
            </w:tcBorders>
          </w:tcPr>
          <w:p w14:paraId="6A1EB836">
            <w:pPr>
              <w:snapToGrid w:val="0"/>
              <w:spacing w:line="360" w:lineRule="auto"/>
              <w:jc w:val="center"/>
              <w:rPr>
                <w:rFonts w:ascii="宋体" w:hAnsi="宋体" w:cs="宋体"/>
                <w:szCs w:val="21"/>
              </w:rPr>
            </w:pPr>
          </w:p>
        </w:tc>
        <w:tc>
          <w:tcPr>
            <w:tcW w:w="875" w:type="dxa"/>
            <w:tcBorders>
              <w:top w:val="single" w:color="auto" w:sz="4" w:space="0"/>
              <w:left w:val="nil"/>
              <w:bottom w:val="single" w:color="auto" w:sz="4" w:space="0"/>
              <w:right w:val="single" w:color="auto" w:sz="4" w:space="0"/>
            </w:tcBorders>
            <w:vAlign w:val="center"/>
          </w:tcPr>
          <w:p w14:paraId="1A0B4484">
            <w:pPr>
              <w:snapToGrid w:val="0"/>
              <w:spacing w:line="360" w:lineRule="auto"/>
              <w:jc w:val="center"/>
              <w:rPr>
                <w:rFonts w:ascii="宋体" w:hAnsi="宋体" w:cs="宋体"/>
                <w:szCs w:val="21"/>
              </w:rPr>
            </w:pPr>
          </w:p>
        </w:tc>
      </w:tr>
      <w:tr w14:paraId="3CDB6375">
        <w:tblPrEx>
          <w:tblCellMar>
            <w:top w:w="0" w:type="dxa"/>
            <w:left w:w="108" w:type="dxa"/>
            <w:bottom w:w="0" w:type="dxa"/>
            <w:right w:w="108" w:type="dxa"/>
          </w:tblCellMar>
        </w:tblPrEx>
        <w:trPr>
          <w:trHeight w:val="998" w:hRule="atLeast"/>
          <w:jc w:val="center"/>
        </w:trPr>
        <w:tc>
          <w:tcPr>
            <w:tcW w:w="455" w:type="dxa"/>
            <w:tcBorders>
              <w:top w:val="single" w:color="auto" w:sz="4" w:space="0"/>
              <w:left w:val="single" w:color="auto" w:sz="4" w:space="0"/>
              <w:bottom w:val="single" w:color="auto" w:sz="4" w:space="0"/>
              <w:right w:val="single" w:color="auto" w:sz="4" w:space="0"/>
            </w:tcBorders>
            <w:vAlign w:val="center"/>
          </w:tcPr>
          <w:p w14:paraId="4A8BA2D2">
            <w:pPr>
              <w:snapToGrid w:val="0"/>
              <w:spacing w:line="360" w:lineRule="auto"/>
              <w:jc w:val="center"/>
              <w:rPr>
                <w:rFonts w:ascii="宋体" w:hAnsi="宋体" w:cs="宋体"/>
                <w:szCs w:val="21"/>
              </w:rPr>
            </w:pPr>
          </w:p>
        </w:tc>
        <w:tc>
          <w:tcPr>
            <w:tcW w:w="962" w:type="dxa"/>
            <w:tcBorders>
              <w:top w:val="single" w:color="auto" w:sz="4" w:space="0"/>
              <w:left w:val="nil"/>
              <w:bottom w:val="single" w:color="auto" w:sz="4" w:space="0"/>
              <w:right w:val="single" w:color="auto" w:sz="4" w:space="0"/>
            </w:tcBorders>
            <w:vAlign w:val="center"/>
          </w:tcPr>
          <w:p w14:paraId="5115AC9C">
            <w:pPr>
              <w:snapToGrid w:val="0"/>
              <w:spacing w:line="360" w:lineRule="auto"/>
              <w:jc w:val="center"/>
              <w:rPr>
                <w:rFonts w:ascii="宋体" w:hAnsi="宋体" w:cs="宋体"/>
                <w:szCs w:val="21"/>
              </w:rPr>
            </w:pPr>
          </w:p>
        </w:tc>
        <w:tc>
          <w:tcPr>
            <w:tcW w:w="1011" w:type="dxa"/>
            <w:tcBorders>
              <w:top w:val="single" w:color="auto" w:sz="4" w:space="0"/>
              <w:left w:val="nil"/>
              <w:bottom w:val="single" w:color="auto" w:sz="4" w:space="0"/>
              <w:right w:val="single" w:color="auto" w:sz="4" w:space="0"/>
            </w:tcBorders>
            <w:vAlign w:val="center"/>
          </w:tcPr>
          <w:p w14:paraId="0D121434">
            <w:pPr>
              <w:snapToGrid w:val="0"/>
              <w:spacing w:line="360" w:lineRule="auto"/>
              <w:jc w:val="center"/>
              <w:rPr>
                <w:rFonts w:ascii="宋体" w:hAnsi="宋体" w:cs="宋体"/>
                <w:szCs w:val="21"/>
              </w:rPr>
            </w:pPr>
          </w:p>
        </w:tc>
        <w:tc>
          <w:tcPr>
            <w:tcW w:w="1125" w:type="dxa"/>
            <w:tcBorders>
              <w:top w:val="single" w:color="auto" w:sz="4" w:space="0"/>
              <w:left w:val="nil"/>
              <w:bottom w:val="single" w:color="auto" w:sz="4" w:space="0"/>
              <w:right w:val="single" w:color="auto" w:sz="4" w:space="0"/>
            </w:tcBorders>
            <w:vAlign w:val="center"/>
          </w:tcPr>
          <w:p w14:paraId="35BE9878">
            <w:pPr>
              <w:snapToGrid w:val="0"/>
              <w:spacing w:line="360" w:lineRule="auto"/>
              <w:jc w:val="center"/>
              <w:rPr>
                <w:rFonts w:ascii="宋体" w:hAnsi="宋体" w:cs="宋体"/>
                <w:szCs w:val="21"/>
              </w:rPr>
            </w:pPr>
          </w:p>
        </w:tc>
        <w:tc>
          <w:tcPr>
            <w:tcW w:w="1500" w:type="dxa"/>
            <w:tcBorders>
              <w:top w:val="single" w:color="auto" w:sz="4" w:space="0"/>
              <w:left w:val="nil"/>
              <w:bottom w:val="single" w:color="auto" w:sz="4" w:space="0"/>
              <w:right w:val="single" w:color="auto" w:sz="4" w:space="0"/>
            </w:tcBorders>
            <w:vAlign w:val="center"/>
          </w:tcPr>
          <w:p w14:paraId="0E4C1BA1">
            <w:pPr>
              <w:snapToGrid w:val="0"/>
              <w:spacing w:line="360" w:lineRule="auto"/>
              <w:jc w:val="center"/>
              <w:rPr>
                <w:rFonts w:ascii="宋体" w:hAnsi="宋体" w:cs="宋体"/>
                <w:szCs w:val="21"/>
              </w:rPr>
            </w:pPr>
          </w:p>
        </w:tc>
        <w:tc>
          <w:tcPr>
            <w:tcW w:w="2012" w:type="dxa"/>
            <w:tcBorders>
              <w:top w:val="single" w:color="auto" w:sz="4" w:space="0"/>
              <w:left w:val="nil"/>
              <w:bottom w:val="single" w:color="auto" w:sz="4" w:space="0"/>
              <w:right w:val="single" w:color="auto" w:sz="4" w:space="0"/>
            </w:tcBorders>
            <w:vAlign w:val="center"/>
          </w:tcPr>
          <w:p w14:paraId="79C3DB9A">
            <w:pPr>
              <w:snapToGrid w:val="0"/>
              <w:spacing w:line="360" w:lineRule="auto"/>
              <w:jc w:val="center"/>
              <w:rPr>
                <w:rFonts w:ascii="宋体" w:hAnsi="宋体" w:cs="宋体"/>
                <w:szCs w:val="21"/>
              </w:rPr>
            </w:pPr>
          </w:p>
        </w:tc>
        <w:tc>
          <w:tcPr>
            <w:tcW w:w="1050" w:type="dxa"/>
            <w:tcBorders>
              <w:top w:val="single" w:color="auto" w:sz="4" w:space="0"/>
              <w:left w:val="nil"/>
              <w:bottom w:val="single" w:color="auto" w:sz="4" w:space="0"/>
              <w:right w:val="single" w:color="auto" w:sz="4" w:space="0"/>
            </w:tcBorders>
          </w:tcPr>
          <w:p w14:paraId="55BD3FBF">
            <w:pPr>
              <w:snapToGrid w:val="0"/>
              <w:spacing w:line="360" w:lineRule="auto"/>
              <w:jc w:val="center"/>
              <w:rPr>
                <w:rFonts w:ascii="宋体" w:hAnsi="宋体" w:cs="宋体"/>
                <w:szCs w:val="21"/>
              </w:rPr>
            </w:pPr>
          </w:p>
        </w:tc>
        <w:tc>
          <w:tcPr>
            <w:tcW w:w="875" w:type="dxa"/>
            <w:tcBorders>
              <w:top w:val="single" w:color="auto" w:sz="4" w:space="0"/>
              <w:left w:val="nil"/>
              <w:bottom w:val="single" w:color="auto" w:sz="4" w:space="0"/>
              <w:right w:val="single" w:color="auto" w:sz="4" w:space="0"/>
            </w:tcBorders>
            <w:vAlign w:val="center"/>
          </w:tcPr>
          <w:p w14:paraId="70E9FBFA">
            <w:pPr>
              <w:snapToGrid w:val="0"/>
              <w:spacing w:line="360" w:lineRule="auto"/>
              <w:jc w:val="center"/>
              <w:rPr>
                <w:rFonts w:ascii="宋体" w:hAnsi="宋体" w:cs="宋体"/>
                <w:szCs w:val="21"/>
              </w:rPr>
            </w:pPr>
          </w:p>
        </w:tc>
      </w:tr>
      <w:tr w14:paraId="50ABD987">
        <w:tblPrEx>
          <w:tblCellMar>
            <w:top w:w="0" w:type="dxa"/>
            <w:left w:w="108" w:type="dxa"/>
            <w:bottom w:w="0" w:type="dxa"/>
            <w:right w:w="108" w:type="dxa"/>
          </w:tblCellMar>
        </w:tblPrEx>
        <w:trPr>
          <w:trHeight w:val="1637" w:hRule="atLeast"/>
          <w:jc w:val="center"/>
        </w:trPr>
        <w:tc>
          <w:tcPr>
            <w:tcW w:w="455" w:type="dxa"/>
            <w:tcBorders>
              <w:top w:val="single" w:color="auto" w:sz="4" w:space="0"/>
              <w:left w:val="single" w:color="auto" w:sz="4" w:space="0"/>
              <w:bottom w:val="single" w:color="auto" w:sz="4" w:space="0"/>
              <w:right w:val="single" w:color="auto" w:sz="4" w:space="0"/>
            </w:tcBorders>
            <w:vAlign w:val="center"/>
          </w:tcPr>
          <w:p w14:paraId="3349E378">
            <w:pPr>
              <w:snapToGrid w:val="0"/>
              <w:spacing w:line="360" w:lineRule="auto"/>
              <w:jc w:val="center"/>
              <w:rPr>
                <w:rFonts w:ascii="宋体" w:hAnsi="宋体" w:cs="宋体"/>
                <w:szCs w:val="21"/>
              </w:rPr>
            </w:pPr>
          </w:p>
        </w:tc>
        <w:tc>
          <w:tcPr>
            <w:tcW w:w="962" w:type="dxa"/>
            <w:tcBorders>
              <w:top w:val="single" w:color="auto" w:sz="4" w:space="0"/>
              <w:left w:val="nil"/>
              <w:bottom w:val="single" w:color="auto" w:sz="4" w:space="0"/>
              <w:right w:val="single" w:color="auto" w:sz="4" w:space="0"/>
            </w:tcBorders>
            <w:vAlign w:val="center"/>
          </w:tcPr>
          <w:p w14:paraId="65D501E6">
            <w:pPr>
              <w:snapToGrid w:val="0"/>
              <w:spacing w:line="360" w:lineRule="auto"/>
              <w:jc w:val="center"/>
              <w:rPr>
                <w:rFonts w:ascii="宋体" w:hAnsi="宋体" w:cs="宋体"/>
                <w:szCs w:val="21"/>
              </w:rPr>
            </w:pPr>
          </w:p>
        </w:tc>
        <w:tc>
          <w:tcPr>
            <w:tcW w:w="1011" w:type="dxa"/>
            <w:tcBorders>
              <w:top w:val="single" w:color="auto" w:sz="4" w:space="0"/>
              <w:left w:val="nil"/>
              <w:bottom w:val="single" w:color="auto" w:sz="4" w:space="0"/>
              <w:right w:val="single" w:color="auto" w:sz="4" w:space="0"/>
            </w:tcBorders>
            <w:vAlign w:val="center"/>
          </w:tcPr>
          <w:p w14:paraId="2F9386E5">
            <w:pPr>
              <w:snapToGrid w:val="0"/>
              <w:spacing w:line="360" w:lineRule="auto"/>
              <w:jc w:val="center"/>
              <w:rPr>
                <w:rFonts w:ascii="宋体" w:hAnsi="宋体" w:cs="宋体"/>
                <w:szCs w:val="21"/>
              </w:rPr>
            </w:pPr>
          </w:p>
        </w:tc>
        <w:tc>
          <w:tcPr>
            <w:tcW w:w="1125" w:type="dxa"/>
            <w:tcBorders>
              <w:top w:val="single" w:color="auto" w:sz="4" w:space="0"/>
              <w:left w:val="nil"/>
              <w:bottom w:val="single" w:color="auto" w:sz="4" w:space="0"/>
              <w:right w:val="single" w:color="auto" w:sz="4" w:space="0"/>
            </w:tcBorders>
            <w:vAlign w:val="center"/>
          </w:tcPr>
          <w:p w14:paraId="06977F97">
            <w:pPr>
              <w:snapToGrid w:val="0"/>
              <w:spacing w:line="360" w:lineRule="auto"/>
              <w:jc w:val="center"/>
              <w:rPr>
                <w:rFonts w:ascii="宋体" w:hAnsi="宋体" w:cs="宋体"/>
                <w:szCs w:val="21"/>
              </w:rPr>
            </w:pPr>
          </w:p>
        </w:tc>
        <w:tc>
          <w:tcPr>
            <w:tcW w:w="1500" w:type="dxa"/>
            <w:tcBorders>
              <w:top w:val="single" w:color="auto" w:sz="4" w:space="0"/>
              <w:left w:val="nil"/>
              <w:bottom w:val="single" w:color="auto" w:sz="4" w:space="0"/>
              <w:right w:val="single" w:color="auto" w:sz="4" w:space="0"/>
            </w:tcBorders>
            <w:vAlign w:val="center"/>
          </w:tcPr>
          <w:p w14:paraId="630E1A20">
            <w:pPr>
              <w:snapToGrid w:val="0"/>
              <w:spacing w:line="360" w:lineRule="auto"/>
              <w:jc w:val="center"/>
              <w:rPr>
                <w:rFonts w:ascii="宋体" w:hAnsi="宋体" w:cs="宋体"/>
                <w:szCs w:val="21"/>
              </w:rPr>
            </w:pPr>
          </w:p>
        </w:tc>
        <w:tc>
          <w:tcPr>
            <w:tcW w:w="2012" w:type="dxa"/>
            <w:tcBorders>
              <w:top w:val="single" w:color="auto" w:sz="4" w:space="0"/>
              <w:left w:val="nil"/>
              <w:bottom w:val="single" w:color="auto" w:sz="4" w:space="0"/>
              <w:right w:val="single" w:color="auto" w:sz="4" w:space="0"/>
            </w:tcBorders>
            <w:vAlign w:val="center"/>
          </w:tcPr>
          <w:p w14:paraId="67D43BE1">
            <w:pPr>
              <w:snapToGrid w:val="0"/>
              <w:spacing w:line="360" w:lineRule="auto"/>
              <w:jc w:val="center"/>
              <w:rPr>
                <w:rFonts w:ascii="宋体" w:hAnsi="宋体" w:cs="宋体"/>
                <w:szCs w:val="21"/>
              </w:rPr>
            </w:pPr>
          </w:p>
        </w:tc>
        <w:tc>
          <w:tcPr>
            <w:tcW w:w="1050" w:type="dxa"/>
            <w:tcBorders>
              <w:top w:val="single" w:color="auto" w:sz="4" w:space="0"/>
              <w:left w:val="nil"/>
              <w:bottom w:val="single" w:color="auto" w:sz="4" w:space="0"/>
              <w:right w:val="single" w:color="auto" w:sz="4" w:space="0"/>
            </w:tcBorders>
          </w:tcPr>
          <w:p w14:paraId="3ED53C91">
            <w:pPr>
              <w:snapToGrid w:val="0"/>
              <w:spacing w:line="360" w:lineRule="auto"/>
              <w:jc w:val="center"/>
              <w:rPr>
                <w:rFonts w:ascii="宋体" w:hAnsi="宋体" w:cs="宋体"/>
                <w:szCs w:val="21"/>
              </w:rPr>
            </w:pPr>
          </w:p>
        </w:tc>
        <w:tc>
          <w:tcPr>
            <w:tcW w:w="875" w:type="dxa"/>
            <w:tcBorders>
              <w:top w:val="single" w:color="auto" w:sz="4" w:space="0"/>
              <w:left w:val="nil"/>
              <w:bottom w:val="single" w:color="auto" w:sz="4" w:space="0"/>
              <w:right w:val="single" w:color="auto" w:sz="4" w:space="0"/>
            </w:tcBorders>
            <w:vAlign w:val="center"/>
          </w:tcPr>
          <w:p w14:paraId="71AB0C22">
            <w:pPr>
              <w:snapToGrid w:val="0"/>
              <w:spacing w:line="360" w:lineRule="auto"/>
              <w:jc w:val="center"/>
              <w:rPr>
                <w:rFonts w:ascii="宋体" w:hAnsi="宋体" w:cs="宋体"/>
                <w:szCs w:val="21"/>
              </w:rPr>
            </w:pPr>
          </w:p>
        </w:tc>
      </w:tr>
    </w:tbl>
    <w:p w14:paraId="057D064A">
      <w:pPr>
        <w:spacing w:line="360" w:lineRule="auto"/>
        <w:rPr>
          <w:rFonts w:hAnsi="宋体"/>
          <w:sz w:val="24"/>
        </w:rPr>
      </w:pPr>
    </w:p>
    <w:p w14:paraId="4035C5E4">
      <w:pPr>
        <w:snapToGrid w:val="0"/>
        <w:spacing w:line="360" w:lineRule="auto"/>
        <w:jc w:val="center"/>
        <w:rPr>
          <w:rFonts w:ascii="宋体" w:hAnsi="宋体" w:cs="宋体"/>
          <w:b/>
          <w:sz w:val="36"/>
          <w:szCs w:val="36"/>
        </w:rPr>
      </w:pPr>
      <w:r>
        <w:rPr>
          <w:rFonts w:hAnsi="宋体"/>
          <w:sz w:val="24"/>
        </w:rPr>
        <w:br w:type="page"/>
      </w:r>
      <w:r>
        <w:rPr>
          <w:rFonts w:hint="eastAsia" w:ascii="宋体" w:hAnsi="宋体" w:cs="宋体"/>
          <w:b/>
          <w:sz w:val="36"/>
          <w:szCs w:val="36"/>
        </w:rPr>
        <w:t>整改通知书</w:t>
      </w:r>
    </w:p>
    <w:tbl>
      <w:tblPr>
        <w:tblStyle w:val="14"/>
        <w:tblW w:w="0" w:type="auto"/>
        <w:jc w:val="center"/>
        <w:tblLayout w:type="fixed"/>
        <w:tblCellMar>
          <w:top w:w="0" w:type="dxa"/>
          <w:left w:w="108" w:type="dxa"/>
          <w:bottom w:w="0" w:type="dxa"/>
          <w:right w:w="108" w:type="dxa"/>
        </w:tblCellMar>
      </w:tblPr>
      <w:tblGrid>
        <w:gridCol w:w="2270"/>
        <w:gridCol w:w="3780"/>
        <w:gridCol w:w="3134"/>
      </w:tblGrid>
      <w:tr w14:paraId="7D484E0D">
        <w:tblPrEx>
          <w:tblCellMar>
            <w:top w:w="0" w:type="dxa"/>
            <w:left w:w="108" w:type="dxa"/>
            <w:bottom w:w="0" w:type="dxa"/>
            <w:right w:w="108" w:type="dxa"/>
          </w:tblCellMar>
        </w:tblPrEx>
        <w:trPr>
          <w:trHeight w:val="590" w:hRule="atLeast"/>
          <w:jc w:val="center"/>
        </w:trPr>
        <w:tc>
          <w:tcPr>
            <w:tcW w:w="2270" w:type="dxa"/>
            <w:tcBorders>
              <w:top w:val="single" w:color="auto" w:sz="4" w:space="0"/>
              <w:left w:val="single" w:color="auto" w:sz="4" w:space="0"/>
              <w:bottom w:val="single" w:color="auto" w:sz="4" w:space="0"/>
              <w:right w:val="single" w:color="auto" w:sz="4" w:space="0"/>
            </w:tcBorders>
            <w:vAlign w:val="center"/>
          </w:tcPr>
          <w:p w14:paraId="67643BED">
            <w:pPr>
              <w:snapToGrid w:val="0"/>
              <w:spacing w:line="360" w:lineRule="auto"/>
              <w:jc w:val="center"/>
              <w:rPr>
                <w:rFonts w:ascii="宋体" w:hAnsi="宋体" w:cs="宋体"/>
                <w:szCs w:val="21"/>
              </w:rPr>
            </w:pPr>
            <w:r>
              <w:rPr>
                <w:rFonts w:hint="eastAsia" w:ascii="宋体" w:hAnsi="宋体" w:cs="宋体"/>
              </w:rPr>
              <w:t>巡查时间</w:t>
            </w:r>
          </w:p>
        </w:tc>
        <w:tc>
          <w:tcPr>
            <w:tcW w:w="6914" w:type="dxa"/>
            <w:gridSpan w:val="2"/>
            <w:tcBorders>
              <w:top w:val="single" w:color="auto" w:sz="4" w:space="0"/>
              <w:left w:val="nil"/>
              <w:bottom w:val="single" w:color="auto" w:sz="4" w:space="0"/>
              <w:right w:val="single" w:color="auto" w:sz="4" w:space="0"/>
            </w:tcBorders>
            <w:vAlign w:val="center"/>
          </w:tcPr>
          <w:p w14:paraId="104190AE">
            <w:pPr>
              <w:snapToGrid w:val="0"/>
              <w:spacing w:line="360" w:lineRule="auto"/>
              <w:jc w:val="center"/>
              <w:rPr>
                <w:rFonts w:ascii="宋体" w:hAnsi="宋体" w:cs="宋体"/>
                <w:szCs w:val="21"/>
              </w:rPr>
            </w:pPr>
          </w:p>
        </w:tc>
      </w:tr>
      <w:tr w14:paraId="4A1196ED">
        <w:tblPrEx>
          <w:tblCellMar>
            <w:top w:w="0" w:type="dxa"/>
            <w:left w:w="108" w:type="dxa"/>
            <w:bottom w:w="0" w:type="dxa"/>
            <w:right w:w="108" w:type="dxa"/>
          </w:tblCellMar>
        </w:tblPrEx>
        <w:trPr>
          <w:trHeight w:val="493" w:hRule="atLeast"/>
          <w:jc w:val="center"/>
        </w:trPr>
        <w:tc>
          <w:tcPr>
            <w:tcW w:w="2270" w:type="dxa"/>
            <w:tcBorders>
              <w:top w:val="single" w:color="auto" w:sz="4" w:space="0"/>
              <w:left w:val="single" w:color="auto" w:sz="4" w:space="0"/>
              <w:bottom w:val="single" w:color="auto" w:sz="4" w:space="0"/>
              <w:right w:val="single" w:color="auto" w:sz="4" w:space="0"/>
            </w:tcBorders>
            <w:vAlign w:val="center"/>
          </w:tcPr>
          <w:p w14:paraId="4CBAAED7">
            <w:pPr>
              <w:snapToGrid w:val="0"/>
              <w:spacing w:line="360" w:lineRule="auto"/>
              <w:jc w:val="center"/>
              <w:rPr>
                <w:rFonts w:ascii="宋体" w:hAnsi="宋体" w:cs="宋体"/>
                <w:szCs w:val="21"/>
              </w:rPr>
            </w:pPr>
            <w:r>
              <w:rPr>
                <w:rFonts w:hint="eastAsia" w:ascii="宋体" w:hAnsi="宋体" w:cs="宋体"/>
              </w:rPr>
              <w:t>整改地点</w:t>
            </w:r>
          </w:p>
        </w:tc>
        <w:tc>
          <w:tcPr>
            <w:tcW w:w="6914" w:type="dxa"/>
            <w:gridSpan w:val="2"/>
            <w:tcBorders>
              <w:top w:val="single" w:color="auto" w:sz="4" w:space="0"/>
              <w:left w:val="nil"/>
              <w:bottom w:val="single" w:color="auto" w:sz="4" w:space="0"/>
              <w:right w:val="single" w:color="auto" w:sz="4" w:space="0"/>
            </w:tcBorders>
            <w:vAlign w:val="center"/>
          </w:tcPr>
          <w:p w14:paraId="636121F0">
            <w:pPr>
              <w:snapToGrid w:val="0"/>
              <w:spacing w:line="360" w:lineRule="auto"/>
              <w:jc w:val="center"/>
              <w:rPr>
                <w:rFonts w:ascii="宋体" w:hAnsi="宋体" w:cs="宋体"/>
                <w:szCs w:val="21"/>
              </w:rPr>
            </w:pPr>
          </w:p>
        </w:tc>
      </w:tr>
      <w:tr w14:paraId="462A816E">
        <w:tblPrEx>
          <w:tblCellMar>
            <w:top w:w="0" w:type="dxa"/>
            <w:left w:w="108" w:type="dxa"/>
            <w:bottom w:w="0" w:type="dxa"/>
            <w:right w:w="108" w:type="dxa"/>
          </w:tblCellMar>
        </w:tblPrEx>
        <w:trPr>
          <w:trHeight w:val="515" w:hRule="atLeast"/>
          <w:jc w:val="center"/>
        </w:trPr>
        <w:tc>
          <w:tcPr>
            <w:tcW w:w="2270" w:type="dxa"/>
            <w:tcBorders>
              <w:top w:val="single" w:color="auto" w:sz="4" w:space="0"/>
              <w:left w:val="single" w:color="auto" w:sz="4" w:space="0"/>
              <w:bottom w:val="single" w:color="auto" w:sz="4" w:space="0"/>
              <w:right w:val="single" w:color="auto" w:sz="4" w:space="0"/>
            </w:tcBorders>
            <w:vAlign w:val="center"/>
          </w:tcPr>
          <w:p w14:paraId="7C580F60">
            <w:pPr>
              <w:snapToGrid w:val="0"/>
              <w:spacing w:line="360" w:lineRule="auto"/>
              <w:jc w:val="center"/>
              <w:rPr>
                <w:rFonts w:ascii="宋体" w:hAnsi="宋体" w:cs="宋体"/>
                <w:szCs w:val="21"/>
              </w:rPr>
            </w:pPr>
            <w:r>
              <w:rPr>
                <w:rFonts w:hint="eastAsia" w:ascii="宋体" w:hAnsi="宋体" w:cs="宋体"/>
              </w:rPr>
              <w:t>整改意见</w:t>
            </w:r>
          </w:p>
        </w:tc>
        <w:tc>
          <w:tcPr>
            <w:tcW w:w="6914" w:type="dxa"/>
            <w:gridSpan w:val="2"/>
            <w:tcBorders>
              <w:top w:val="single" w:color="auto" w:sz="4" w:space="0"/>
              <w:left w:val="nil"/>
              <w:bottom w:val="single" w:color="auto" w:sz="4" w:space="0"/>
              <w:right w:val="single" w:color="auto" w:sz="4" w:space="0"/>
            </w:tcBorders>
            <w:vAlign w:val="center"/>
          </w:tcPr>
          <w:p w14:paraId="5FDBFE01">
            <w:pPr>
              <w:snapToGrid w:val="0"/>
              <w:spacing w:line="360" w:lineRule="auto"/>
              <w:jc w:val="center"/>
              <w:rPr>
                <w:rFonts w:ascii="宋体" w:hAnsi="宋体" w:cs="宋体"/>
                <w:szCs w:val="21"/>
              </w:rPr>
            </w:pPr>
          </w:p>
        </w:tc>
      </w:tr>
      <w:tr w14:paraId="7E0862C5">
        <w:tblPrEx>
          <w:tblCellMar>
            <w:top w:w="0" w:type="dxa"/>
            <w:left w:w="108" w:type="dxa"/>
            <w:bottom w:w="0" w:type="dxa"/>
            <w:right w:w="108" w:type="dxa"/>
          </w:tblCellMar>
        </w:tblPrEx>
        <w:trPr>
          <w:trHeight w:val="515" w:hRule="atLeast"/>
          <w:jc w:val="center"/>
        </w:trPr>
        <w:tc>
          <w:tcPr>
            <w:tcW w:w="2270" w:type="dxa"/>
            <w:tcBorders>
              <w:top w:val="single" w:color="auto" w:sz="4" w:space="0"/>
              <w:left w:val="single" w:color="auto" w:sz="4" w:space="0"/>
              <w:bottom w:val="single" w:color="auto" w:sz="4" w:space="0"/>
              <w:right w:val="single" w:color="auto" w:sz="4" w:space="0"/>
            </w:tcBorders>
            <w:vAlign w:val="center"/>
          </w:tcPr>
          <w:p w14:paraId="26DE5C06">
            <w:pPr>
              <w:snapToGrid w:val="0"/>
              <w:spacing w:line="360" w:lineRule="auto"/>
              <w:jc w:val="center"/>
              <w:rPr>
                <w:rFonts w:ascii="宋体" w:hAnsi="宋体" w:cs="宋体"/>
                <w:szCs w:val="21"/>
              </w:rPr>
            </w:pPr>
            <w:r>
              <w:rPr>
                <w:rFonts w:hint="eastAsia" w:ascii="宋体" w:hAnsi="宋体" w:cs="宋体"/>
              </w:rPr>
              <w:t>所属公司</w:t>
            </w:r>
          </w:p>
        </w:tc>
        <w:tc>
          <w:tcPr>
            <w:tcW w:w="6914" w:type="dxa"/>
            <w:gridSpan w:val="2"/>
            <w:tcBorders>
              <w:top w:val="single" w:color="auto" w:sz="4" w:space="0"/>
              <w:left w:val="nil"/>
              <w:bottom w:val="single" w:color="auto" w:sz="4" w:space="0"/>
              <w:right w:val="single" w:color="auto" w:sz="4" w:space="0"/>
            </w:tcBorders>
            <w:vAlign w:val="center"/>
          </w:tcPr>
          <w:p w14:paraId="23C00155">
            <w:pPr>
              <w:snapToGrid w:val="0"/>
              <w:spacing w:line="360" w:lineRule="auto"/>
              <w:jc w:val="center"/>
              <w:rPr>
                <w:rFonts w:ascii="宋体" w:hAnsi="宋体" w:cs="宋体"/>
                <w:szCs w:val="21"/>
              </w:rPr>
            </w:pPr>
          </w:p>
        </w:tc>
      </w:tr>
      <w:tr w14:paraId="4311ED30">
        <w:tblPrEx>
          <w:tblCellMar>
            <w:top w:w="0" w:type="dxa"/>
            <w:left w:w="108" w:type="dxa"/>
            <w:bottom w:w="0" w:type="dxa"/>
            <w:right w:w="108" w:type="dxa"/>
          </w:tblCellMar>
        </w:tblPrEx>
        <w:trPr>
          <w:trHeight w:val="519" w:hRule="atLeast"/>
          <w:jc w:val="center"/>
        </w:trPr>
        <w:tc>
          <w:tcPr>
            <w:tcW w:w="2270" w:type="dxa"/>
            <w:tcBorders>
              <w:top w:val="single" w:color="auto" w:sz="4" w:space="0"/>
              <w:left w:val="single" w:color="auto" w:sz="4" w:space="0"/>
              <w:bottom w:val="single" w:color="auto" w:sz="4" w:space="0"/>
              <w:right w:val="single" w:color="auto" w:sz="4" w:space="0"/>
            </w:tcBorders>
            <w:vAlign w:val="center"/>
          </w:tcPr>
          <w:p w14:paraId="518B9175">
            <w:pPr>
              <w:snapToGrid w:val="0"/>
              <w:spacing w:line="360" w:lineRule="auto"/>
              <w:jc w:val="center"/>
              <w:rPr>
                <w:rFonts w:ascii="宋体" w:hAnsi="宋体" w:cs="宋体"/>
                <w:szCs w:val="21"/>
              </w:rPr>
            </w:pPr>
            <w:r>
              <w:rPr>
                <w:rFonts w:hint="eastAsia" w:ascii="宋体" w:hAnsi="宋体" w:cs="宋体"/>
              </w:rPr>
              <w:t>整改限时</w:t>
            </w:r>
          </w:p>
        </w:tc>
        <w:tc>
          <w:tcPr>
            <w:tcW w:w="6914" w:type="dxa"/>
            <w:gridSpan w:val="2"/>
            <w:tcBorders>
              <w:top w:val="single" w:color="auto" w:sz="4" w:space="0"/>
              <w:left w:val="nil"/>
              <w:bottom w:val="single" w:color="auto" w:sz="4" w:space="0"/>
              <w:right w:val="single" w:color="auto" w:sz="4" w:space="0"/>
            </w:tcBorders>
            <w:vAlign w:val="center"/>
          </w:tcPr>
          <w:p w14:paraId="0F11FFE0">
            <w:pPr>
              <w:snapToGrid w:val="0"/>
              <w:spacing w:line="360" w:lineRule="auto"/>
              <w:jc w:val="center"/>
              <w:rPr>
                <w:rFonts w:ascii="宋体" w:hAnsi="宋体" w:cs="宋体"/>
                <w:szCs w:val="21"/>
              </w:rPr>
            </w:pPr>
          </w:p>
        </w:tc>
      </w:tr>
      <w:tr w14:paraId="3D99F924">
        <w:tblPrEx>
          <w:tblCellMar>
            <w:top w:w="0" w:type="dxa"/>
            <w:left w:w="108" w:type="dxa"/>
            <w:bottom w:w="0" w:type="dxa"/>
            <w:right w:w="108" w:type="dxa"/>
          </w:tblCellMar>
        </w:tblPrEx>
        <w:trPr>
          <w:trHeight w:val="563" w:hRule="atLeast"/>
          <w:jc w:val="center"/>
        </w:trPr>
        <w:tc>
          <w:tcPr>
            <w:tcW w:w="2270" w:type="dxa"/>
            <w:vMerge w:val="restart"/>
            <w:tcBorders>
              <w:top w:val="nil"/>
              <w:left w:val="single" w:color="auto" w:sz="4" w:space="0"/>
              <w:bottom w:val="single" w:color="auto" w:sz="4" w:space="0"/>
              <w:right w:val="single" w:color="auto" w:sz="4" w:space="0"/>
            </w:tcBorders>
            <w:vAlign w:val="center"/>
          </w:tcPr>
          <w:p w14:paraId="3829B29D">
            <w:pPr>
              <w:snapToGrid w:val="0"/>
              <w:spacing w:line="360" w:lineRule="auto"/>
              <w:jc w:val="center"/>
              <w:rPr>
                <w:rFonts w:ascii="宋体" w:hAnsi="宋体" w:cs="宋体"/>
                <w:szCs w:val="21"/>
              </w:rPr>
            </w:pPr>
            <w:r>
              <w:rPr>
                <w:rFonts w:hint="eastAsia" w:ascii="宋体" w:hAnsi="宋体" w:cs="宋体"/>
              </w:rPr>
              <w:t>图片</w:t>
            </w:r>
          </w:p>
        </w:tc>
        <w:tc>
          <w:tcPr>
            <w:tcW w:w="3780" w:type="dxa"/>
            <w:tcBorders>
              <w:top w:val="single" w:color="auto" w:sz="4" w:space="0"/>
              <w:left w:val="nil"/>
              <w:bottom w:val="single" w:color="auto" w:sz="4" w:space="0"/>
              <w:right w:val="single" w:color="auto" w:sz="4" w:space="0"/>
            </w:tcBorders>
            <w:vAlign w:val="center"/>
          </w:tcPr>
          <w:p w14:paraId="34313E52">
            <w:pPr>
              <w:snapToGrid w:val="0"/>
              <w:spacing w:line="360" w:lineRule="auto"/>
              <w:jc w:val="center"/>
              <w:rPr>
                <w:rFonts w:ascii="宋体" w:hAnsi="宋体" w:cs="宋体"/>
                <w:szCs w:val="21"/>
              </w:rPr>
            </w:pPr>
            <w:r>
              <w:rPr>
                <w:rFonts w:hint="eastAsia" w:ascii="宋体" w:hAnsi="宋体" w:cs="宋体"/>
              </w:rPr>
              <w:t>整改前</w:t>
            </w:r>
          </w:p>
        </w:tc>
        <w:tc>
          <w:tcPr>
            <w:tcW w:w="3134" w:type="dxa"/>
            <w:tcBorders>
              <w:top w:val="single" w:color="auto" w:sz="4" w:space="0"/>
              <w:left w:val="nil"/>
              <w:bottom w:val="single" w:color="auto" w:sz="4" w:space="0"/>
              <w:right w:val="single" w:color="auto" w:sz="4" w:space="0"/>
            </w:tcBorders>
            <w:vAlign w:val="center"/>
          </w:tcPr>
          <w:p w14:paraId="6EB10397">
            <w:pPr>
              <w:snapToGrid w:val="0"/>
              <w:spacing w:line="360" w:lineRule="auto"/>
              <w:jc w:val="center"/>
              <w:rPr>
                <w:rFonts w:ascii="宋体" w:hAnsi="宋体" w:cs="宋体"/>
                <w:szCs w:val="21"/>
              </w:rPr>
            </w:pPr>
            <w:r>
              <w:rPr>
                <w:rFonts w:hint="eastAsia" w:ascii="宋体" w:hAnsi="宋体" w:cs="宋体"/>
              </w:rPr>
              <w:t>整改后</w:t>
            </w:r>
          </w:p>
        </w:tc>
      </w:tr>
      <w:tr w14:paraId="200CC185">
        <w:tblPrEx>
          <w:tblCellMar>
            <w:top w:w="0" w:type="dxa"/>
            <w:left w:w="108" w:type="dxa"/>
            <w:bottom w:w="0" w:type="dxa"/>
            <w:right w:w="108" w:type="dxa"/>
          </w:tblCellMar>
        </w:tblPrEx>
        <w:trPr>
          <w:trHeight w:val="1097" w:hRule="atLeast"/>
          <w:jc w:val="center"/>
        </w:trPr>
        <w:tc>
          <w:tcPr>
            <w:tcW w:w="2270" w:type="dxa"/>
            <w:vMerge w:val="continue"/>
            <w:tcBorders>
              <w:top w:val="nil"/>
              <w:left w:val="single" w:color="auto" w:sz="4" w:space="0"/>
              <w:bottom w:val="single" w:color="auto" w:sz="4" w:space="0"/>
              <w:right w:val="single" w:color="auto" w:sz="4" w:space="0"/>
            </w:tcBorders>
            <w:vAlign w:val="center"/>
          </w:tcPr>
          <w:p w14:paraId="197269BD">
            <w:pPr>
              <w:spacing w:line="360" w:lineRule="auto"/>
              <w:jc w:val="center"/>
              <w:rPr>
                <w:sz w:val="20"/>
                <w:szCs w:val="20"/>
              </w:rPr>
            </w:pPr>
          </w:p>
        </w:tc>
        <w:tc>
          <w:tcPr>
            <w:tcW w:w="3780" w:type="dxa"/>
            <w:tcBorders>
              <w:top w:val="single" w:color="auto" w:sz="4" w:space="0"/>
              <w:left w:val="nil"/>
              <w:bottom w:val="single" w:color="auto" w:sz="4" w:space="0"/>
              <w:right w:val="single" w:color="auto" w:sz="4" w:space="0"/>
            </w:tcBorders>
            <w:vAlign w:val="center"/>
          </w:tcPr>
          <w:p w14:paraId="1AF5BD37">
            <w:pPr>
              <w:snapToGrid w:val="0"/>
              <w:spacing w:line="360" w:lineRule="auto"/>
              <w:jc w:val="center"/>
              <w:rPr>
                <w:rFonts w:ascii="宋体" w:hAnsi="宋体" w:cs="宋体"/>
                <w:szCs w:val="21"/>
              </w:rPr>
            </w:pPr>
          </w:p>
        </w:tc>
        <w:tc>
          <w:tcPr>
            <w:tcW w:w="3134" w:type="dxa"/>
            <w:tcBorders>
              <w:top w:val="single" w:color="auto" w:sz="4" w:space="0"/>
              <w:left w:val="nil"/>
              <w:bottom w:val="single" w:color="auto" w:sz="4" w:space="0"/>
              <w:right w:val="single" w:color="auto" w:sz="4" w:space="0"/>
            </w:tcBorders>
            <w:vAlign w:val="center"/>
          </w:tcPr>
          <w:p w14:paraId="0255C4DA">
            <w:pPr>
              <w:snapToGrid w:val="0"/>
              <w:spacing w:line="360" w:lineRule="auto"/>
              <w:jc w:val="center"/>
              <w:rPr>
                <w:rFonts w:ascii="宋体" w:hAnsi="宋体" w:cs="宋体"/>
                <w:szCs w:val="21"/>
              </w:rPr>
            </w:pPr>
          </w:p>
        </w:tc>
      </w:tr>
      <w:tr w14:paraId="6AAE8225">
        <w:tblPrEx>
          <w:tblCellMar>
            <w:top w:w="0" w:type="dxa"/>
            <w:left w:w="108" w:type="dxa"/>
            <w:bottom w:w="0" w:type="dxa"/>
            <w:right w:w="108" w:type="dxa"/>
          </w:tblCellMar>
        </w:tblPrEx>
        <w:trPr>
          <w:trHeight w:val="2723" w:hRule="atLeast"/>
          <w:jc w:val="center"/>
        </w:trPr>
        <w:tc>
          <w:tcPr>
            <w:tcW w:w="2270" w:type="dxa"/>
            <w:tcBorders>
              <w:top w:val="single" w:color="auto" w:sz="4" w:space="0"/>
              <w:left w:val="single" w:color="auto" w:sz="4" w:space="0"/>
              <w:bottom w:val="single" w:color="auto" w:sz="4" w:space="0"/>
              <w:right w:val="single" w:color="auto" w:sz="4" w:space="0"/>
            </w:tcBorders>
            <w:vAlign w:val="center"/>
          </w:tcPr>
          <w:p w14:paraId="2979DD53">
            <w:pPr>
              <w:snapToGrid w:val="0"/>
              <w:spacing w:line="360" w:lineRule="auto"/>
              <w:jc w:val="center"/>
              <w:rPr>
                <w:rFonts w:ascii="宋体" w:hAnsi="宋体" w:cs="宋体"/>
                <w:szCs w:val="21"/>
              </w:rPr>
            </w:pPr>
            <w:r>
              <w:rPr>
                <w:rFonts w:hint="eastAsia" w:ascii="宋体" w:hAnsi="宋体" w:cs="宋体"/>
              </w:rPr>
              <w:t>整改情况</w:t>
            </w:r>
          </w:p>
        </w:tc>
        <w:tc>
          <w:tcPr>
            <w:tcW w:w="6914" w:type="dxa"/>
            <w:gridSpan w:val="2"/>
            <w:tcBorders>
              <w:top w:val="single" w:color="auto" w:sz="4" w:space="0"/>
              <w:left w:val="nil"/>
              <w:bottom w:val="single" w:color="auto" w:sz="4" w:space="0"/>
              <w:right w:val="single" w:color="auto" w:sz="4" w:space="0"/>
            </w:tcBorders>
            <w:vAlign w:val="center"/>
          </w:tcPr>
          <w:p w14:paraId="62A0698F">
            <w:pPr>
              <w:snapToGrid w:val="0"/>
              <w:spacing w:line="360" w:lineRule="auto"/>
              <w:jc w:val="center"/>
              <w:rPr>
                <w:rFonts w:ascii="宋体" w:hAnsi="宋体" w:cs="宋体"/>
                <w:szCs w:val="21"/>
              </w:rPr>
            </w:pPr>
          </w:p>
        </w:tc>
      </w:tr>
      <w:tr w14:paraId="5A1376E7">
        <w:tblPrEx>
          <w:tblCellMar>
            <w:top w:w="0" w:type="dxa"/>
            <w:left w:w="108" w:type="dxa"/>
            <w:bottom w:w="0" w:type="dxa"/>
            <w:right w:w="108" w:type="dxa"/>
          </w:tblCellMar>
        </w:tblPrEx>
        <w:trPr>
          <w:trHeight w:val="920" w:hRule="atLeast"/>
          <w:jc w:val="center"/>
        </w:trPr>
        <w:tc>
          <w:tcPr>
            <w:tcW w:w="2270" w:type="dxa"/>
            <w:tcBorders>
              <w:top w:val="single" w:color="auto" w:sz="4" w:space="0"/>
              <w:left w:val="single" w:color="auto" w:sz="4" w:space="0"/>
              <w:bottom w:val="single" w:color="auto" w:sz="4" w:space="0"/>
              <w:right w:val="single" w:color="auto" w:sz="4" w:space="0"/>
            </w:tcBorders>
            <w:vAlign w:val="center"/>
          </w:tcPr>
          <w:p w14:paraId="4D8DD610">
            <w:pPr>
              <w:snapToGrid w:val="0"/>
              <w:spacing w:line="360" w:lineRule="auto"/>
              <w:jc w:val="center"/>
              <w:rPr>
                <w:rFonts w:ascii="宋体" w:hAnsi="宋体" w:cs="宋体"/>
                <w:szCs w:val="21"/>
              </w:rPr>
            </w:pPr>
            <w:r>
              <w:rPr>
                <w:rFonts w:hint="eastAsia" w:ascii="宋体" w:hAnsi="宋体" w:cs="宋体"/>
              </w:rPr>
              <w:t>备注</w:t>
            </w:r>
          </w:p>
        </w:tc>
        <w:tc>
          <w:tcPr>
            <w:tcW w:w="6914" w:type="dxa"/>
            <w:gridSpan w:val="2"/>
            <w:tcBorders>
              <w:top w:val="single" w:color="auto" w:sz="4" w:space="0"/>
              <w:left w:val="nil"/>
              <w:bottom w:val="single" w:color="auto" w:sz="4" w:space="0"/>
              <w:right w:val="single" w:color="auto" w:sz="4" w:space="0"/>
            </w:tcBorders>
            <w:vAlign w:val="center"/>
          </w:tcPr>
          <w:p w14:paraId="7EF8CBF7">
            <w:pPr>
              <w:snapToGrid w:val="0"/>
              <w:spacing w:line="360" w:lineRule="auto"/>
              <w:jc w:val="center"/>
              <w:rPr>
                <w:rFonts w:ascii="宋体" w:hAnsi="宋体" w:cs="宋体"/>
                <w:szCs w:val="21"/>
              </w:rPr>
            </w:pPr>
          </w:p>
        </w:tc>
      </w:tr>
    </w:tbl>
    <w:p w14:paraId="5DC63553">
      <w:pPr>
        <w:spacing w:line="360" w:lineRule="auto"/>
        <w:rPr>
          <w:sz w:val="24"/>
        </w:rPr>
      </w:pPr>
      <w:r>
        <w:rPr>
          <w:rFonts w:hAnsi="宋体"/>
          <w:sz w:val="24"/>
        </w:rPr>
        <w:t xml:space="preserve">                     </w:t>
      </w:r>
    </w:p>
    <w:p w14:paraId="44D1AD32">
      <w:pPr>
        <w:autoSpaceDE w:val="0"/>
        <w:autoSpaceDN w:val="0"/>
        <w:adjustRightInd w:val="0"/>
        <w:spacing w:line="360" w:lineRule="auto"/>
        <w:ind w:left="2564" w:leftChars="975" w:right="2960" w:hanging="516" w:hangingChars="246"/>
        <w:jc w:val="left"/>
      </w:pPr>
    </w:p>
    <w:p w14:paraId="2190A100">
      <w:pPr>
        <w:autoSpaceDE w:val="0"/>
        <w:autoSpaceDN w:val="0"/>
        <w:adjustRightInd w:val="0"/>
        <w:spacing w:line="360" w:lineRule="auto"/>
        <w:ind w:left="2564" w:leftChars="975" w:right="2960" w:hanging="516" w:hangingChars="246"/>
        <w:jc w:val="left"/>
      </w:pPr>
    </w:p>
    <w:p w14:paraId="6DA1F8E0">
      <w:pPr>
        <w:autoSpaceDE w:val="0"/>
        <w:autoSpaceDN w:val="0"/>
        <w:adjustRightInd w:val="0"/>
        <w:spacing w:line="360" w:lineRule="auto"/>
        <w:ind w:left="2564" w:leftChars="975" w:right="2960" w:hanging="516" w:hangingChars="246"/>
        <w:jc w:val="left"/>
      </w:pPr>
    </w:p>
    <w:p w14:paraId="227E533E">
      <w:pPr>
        <w:autoSpaceDE w:val="0"/>
        <w:autoSpaceDN w:val="0"/>
        <w:adjustRightInd w:val="0"/>
        <w:spacing w:line="360" w:lineRule="auto"/>
        <w:ind w:left="2564" w:leftChars="975" w:right="2960" w:hanging="516" w:hangingChars="246"/>
        <w:jc w:val="left"/>
      </w:pPr>
    </w:p>
    <w:p w14:paraId="58E2CA09">
      <w:pPr>
        <w:autoSpaceDE w:val="0"/>
        <w:autoSpaceDN w:val="0"/>
        <w:adjustRightInd w:val="0"/>
        <w:spacing w:line="360" w:lineRule="auto"/>
        <w:ind w:left="2564" w:leftChars="975" w:right="2960" w:hanging="516" w:hangingChars="246"/>
        <w:jc w:val="left"/>
      </w:pPr>
    </w:p>
    <w:p w14:paraId="592DB74F">
      <w:pPr>
        <w:pStyle w:val="13"/>
        <w:ind w:firstLine="210"/>
      </w:pPr>
    </w:p>
    <w:p w14:paraId="13DA8D62">
      <w:pPr>
        <w:pStyle w:val="2"/>
        <w:jc w:val="left"/>
        <w:rPr>
          <w:rFonts w:ascii="宋体" w:hAnsi="宋体" w:eastAsia="宋体" w:cs="宋体"/>
          <w:kern w:val="0"/>
          <w:sz w:val="24"/>
        </w:rPr>
        <w:sectPr>
          <w:pgSz w:w="11906" w:h="16838"/>
          <w:pgMar w:top="2098" w:right="1531" w:bottom="1985" w:left="1531" w:header="851" w:footer="992" w:gutter="0"/>
          <w:cols w:space="720" w:num="1"/>
          <w:docGrid w:type="lines" w:linePitch="312" w:charSpace="0"/>
        </w:sectPr>
      </w:pPr>
    </w:p>
    <w:p w14:paraId="4B97B8BD">
      <w:pPr>
        <w:pStyle w:val="2"/>
        <w:jc w:val="left"/>
        <w:rPr>
          <w:rFonts w:ascii="宋体" w:hAnsi="宋体" w:eastAsia="宋体" w:cs="宋体"/>
          <w:kern w:val="0"/>
          <w:sz w:val="24"/>
        </w:rPr>
      </w:pPr>
      <w:r>
        <w:rPr>
          <w:rFonts w:hint="eastAsia" w:ascii="宋体" w:hAnsi="宋体" w:eastAsia="宋体" w:cs="宋体"/>
          <w:kern w:val="0"/>
          <w:sz w:val="24"/>
        </w:rPr>
        <w:t>附件1</w:t>
      </w:r>
    </w:p>
    <w:p w14:paraId="042FA87E">
      <w:pPr>
        <w:rPr>
          <w:sz w:val="28"/>
          <w:szCs w:val="28"/>
        </w:rPr>
      </w:pPr>
      <w:r>
        <w:drawing>
          <wp:inline distT="0" distB="0" distL="0" distR="0">
            <wp:extent cx="8886825" cy="5169535"/>
            <wp:effectExtent l="0" t="0" r="9525"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8886825" cy="5169535"/>
                    </a:xfrm>
                    <a:prstGeom prst="rect">
                      <a:avLst/>
                    </a:prstGeom>
                  </pic:spPr>
                </pic:pic>
              </a:graphicData>
            </a:graphic>
          </wp:inline>
        </w:drawing>
      </w:r>
    </w:p>
    <w:p w14:paraId="0284228E">
      <w:pPr>
        <w:pStyle w:val="2"/>
      </w:pPr>
      <w:r>
        <w:drawing>
          <wp:inline distT="0" distB="0" distL="0" distR="0">
            <wp:extent cx="9058275" cy="53911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9058275" cy="5391150"/>
                    </a:xfrm>
                    <a:prstGeom prst="rect">
                      <a:avLst/>
                    </a:prstGeom>
                  </pic:spPr>
                </pic:pic>
              </a:graphicData>
            </a:graphic>
          </wp:inline>
        </w:drawing>
      </w:r>
    </w:p>
    <w:p w14:paraId="05038260">
      <w:pPr>
        <w:widowControl/>
        <w:jc w:val="left"/>
        <w:rPr>
          <w:rFonts w:ascii="Arial" w:hAnsi="Arial"/>
          <w:b/>
          <w:sz w:val="32"/>
        </w:rPr>
      </w:pPr>
      <w:r>
        <w:br w:type="page"/>
      </w:r>
    </w:p>
    <w:p w14:paraId="06D12C54">
      <w:pPr>
        <w:pStyle w:val="2"/>
      </w:pPr>
      <w:r>
        <w:drawing>
          <wp:inline distT="0" distB="0" distL="0" distR="0">
            <wp:extent cx="9251950" cy="5438140"/>
            <wp:effectExtent l="0" t="0" r="635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9251950" cy="5438140"/>
                    </a:xfrm>
                    <a:prstGeom prst="rect">
                      <a:avLst/>
                    </a:prstGeom>
                  </pic:spPr>
                </pic:pic>
              </a:graphicData>
            </a:graphic>
          </wp:inline>
        </w:drawing>
      </w:r>
    </w:p>
    <w:p w14:paraId="7CC40D17">
      <w:pPr>
        <w:pStyle w:val="2"/>
      </w:pPr>
      <w:r>
        <w:drawing>
          <wp:inline distT="0" distB="0" distL="0" distR="0">
            <wp:extent cx="9251950" cy="548005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9251950" cy="5480050"/>
                    </a:xfrm>
                    <a:prstGeom prst="rect">
                      <a:avLst/>
                    </a:prstGeom>
                  </pic:spPr>
                </pic:pic>
              </a:graphicData>
            </a:graphic>
          </wp:inline>
        </w:drawing>
      </w:r>
    </w:p>
    <w:p w14:paraId="302262C2">
      <w:pPr>
        <w:pStyle w:val="2"/>
      </w:pPr>
      <w:r>
        <w:drawing>
          <wp:inline distT="0" distB="0" distL="0" distR="0">
            <wp:extent cx="9251950" cy="6118225"/>
            <wp:effectExtent l="0" t="0" r="6350" b="158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9251950" cy="6118225"/>
                    </a:xfrm>
                    <a:prstGeom prst="rect">
                      <a:avLst/>
                    </a:prstGeom>
                  </pic:spPr>
                </pic:pic>
              </a:graphicData>
            </a:graphic>
          </wp:inline>
        </w:drawing>
      </w:r>
    </w:p>
    <w:p w14:paraId="79EB6D10">
      <w:pPr>
        <w:pStyle w:val="2"/>
      </w:pPr>
      <w:r>
        <w:drawing>
          <wp:inline distT="0" distB="0" distL="0" distR="0">
            <wp:extent cx="9251950" cy="4992370"/>
            <wp:effectExtent l="0" t="0" r="6350"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
                    <a:stretch>
                      <a:fillRect/>
                    </a:stretch>
                  </pic:blipFill>
                  <pic:spPr>
                    <a:xfrm>
                      <a:off x="0" y="0"/>
                      <a:ext cx="9251950" cy="4992370"/>
                    </a:xfrm>
                    <a:prstGeom prst="rect">
                      <a:avLst/>
                    </a:prstGeom>
                  </pic:spPr>
                </pic:pic>
              </a:graphicData>
            </a:graphic>
          </wp:inline>
        </w:drawing>
      </w:r>
    </w:p>
    <w:p w14:paraId="0FA976B4">
      <w:pPr>
        <w:pStyle w:val="2"/>
      </w:pPr>
    </w:p>
    <w:p w14:paraId="23B41B2A">
      <w:pPr>
        <w:pStyle w:val="2"/>
      </w:pPr>
      <w:r>
        <w:drawing>
          <wp:inline distT="0" distB="0" distL="0" distR="0">
            <wp:extent cx="9124950" cy="4848225"/>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9124950" cy="4848225"/>
                    </a:xfrm>
                    <a:prstGeom prst="rect">
                      <a:avLst/>
                    </a:prstGeom>
                  </pic:spPr>
                </pic:pic>
              </a:graphicData>
            </a:graphic>
          </wp:inline>
        </w:drawing>
      </w:r>
    </w:p>
    <w:p w14:paraId="3819815C">
      <w:pPr>
        <w:pStyle w:val="2"/>
      </w:pPr>
    </w:p>
    <w:p w14:paraId="4D224888">
      <w:pPr>
        <w:pStyle w:val="2"/>
      </w:pPr>
      <w:r>
        <w:drawing>
          <wp:inline distT="0" distB="0" distL="0" distR="0">
            <wp:extent cx="9251950" cy="4809490"/>
            <wp:effectExtent l="0" t="0" r="6350" b="1016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9251950" cy="4809490"/>
                    </a:xfrm>
                    <a:prstGeom prst="rect">
                      <a:avLst/>
                    </a:prstGeom>
                  </pic:spPr>
                </pic:pic>
              </a:graphicData>
            </a:graphic>
          </wp:inline>
        </w:drawing>
      </w:r>
    </w:p>
    <w:p w14:paraId="44D58DE0">
      <w:pPr>
        <w:pStyle w:val="2"/>
      </w:pPr>
      <w:r>
        <w:drawing>
          <wp:inline distT="0" distB="0" distL="0" distR="0">
            <wp:extent cx="9251950" cy="6111240"/>
            <wp:effectExtent l="0" t="0" r="635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9251950" cy="6111240"/>
                    </a:xfrm>
                    <a:prstGeom prst="rect">
                      <a:avLst/>
                    </a:prstGeom>
                  </pic:spPr>
                </pic:pic>
              </a:graphicData>
            </a:graphic>
          </wp:inline>
        </w:drawing>
      </w:r>
    </w:p>
    <w:p w14:paraId="750CE174">
      <w:pPr>
        <w:pStyle w:val="2"/>
      </w:pPr>
      <w:r>
        <w:drawing>
          <wp:inline distT="0" distB="0" distL="0" distR="0">
            <wp:extent cx="8267700" cy="59340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stretch>
                      <a:fillRect/>
                    </a:stretch>
                  </pic:blipFill>
                  <pic:spPr>
                    <a:xfrm>
                      <a:off x="0" y="0"/>
                      <a:ext cx="8267700" cy="5934075"/>
                    </a:xfrm>
                    <a:prstGeom prst="rect">
                      <a:avLst/>
                    </a:prstGeom>
                  </pic:spPr>
                </pic:pic>
              </a:graphicData>
            </a:graphic>
          </wp:inline>
        </w:drawing>
      </w:r>
    </w:p>
    <w:p w14:paraId="40286F43">
      <w:pPr>
        <w:pStyle w:val="2"/>
      </w:pPr>
      <w:r>
        <w:drawing>
          <wp:inline distT="0" distB="0" distL="0" distR="0">
            <wp:extent cx="9251950" cy="5525770"/>
            <wp:effectExtent l="0" t="0" r="6350" b="177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9251950" cy="5525770"/>
                    </a:xfrm>
                    <a:prstGeom prst="rect">
                      <a:avLst/>
                    </a:prstGeom>
                  </pic:spPr>
                </pic:pic>
              </a:graphicData>
            </a:graphic>
          </wp:inline>
        </w:drawing>
      </w:r>
    </w:p>
    <w:p w14:paraId="49EFC9A4">
      <w:pPr>
        <w:pStyle w:val="2"/>
        <w:jc w:val="left"/>
        <w:rPr>
          <w:rFonts w:ascii="宋体" w:hAnsi="宋体" w:eastAsia="宋体" w:cs="宋体"/>
          <w:kern w:val="0"/>
          <w:sz w:val="24"/>
        </w:rPr>
      </w:pPr>
      <w:r>
        <w:drawing>
          <wp:inline distT="0" distB="0" distL="0" distR="0">
            <wp:extent cx="9251950" cy="6083300"/>
            <wp:effectExtent l="0" t="0" r="6350" b="1270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tretch>
                      <a:fillRect/>
                    </a:stretch>
                  </pic:blipFill>
                  <pic:spPr>
                    <a:xfrm>
                      <a:off x="0" y="0"/>
                      <a:ext cx="9251950" cy="6083300"/>
                    </a:xfrm>
                    <a:prstGeom prst="rect">
                      <a:avLst/>
                    </a:prstGeom>
                  </pic:spPr>
                </pic:pic>
              </a:graphicData>
            </a:graphic>
          </wp:inline>
        </w:drawing>
      </w:r>
    </w:p>
    <w:p w14:paraId="547B37CB">
      <w:pPr>
        <w:pStyle w:val="2"/>
        <w:jc w:val="left"/>
        <w:rPr>
          <w:rFonts w:ascii="宋体" w:hAnsi="宋体" w:eastAsia="宋体" w:cs="宋体"/>
          <w:kern w:val="0"/>
          <w:sz w:val="24"/>
        </w:rPr>
      </w:pPr>
      <w:r>
        <w:rPr>
          <w:rFonts w:hint="eastAsia" w:ascii="宋体" w:hAnsi="宋体" w:eastAsia="宋体" w:cs="宋体"/>
          <w:kern w:val="0"/>
          <w:sz w:val="24"/>
        </w:rPr>
        <w:t>附件2</w:t>
      </w:r>
    </w:p>
    <w:p w14:paraId="37184178">
      <w:pPr>
        <w:pStyle w:val="2"/>
        <w:jc w:val="left"/>
        <w:rPr>
          <w:rFonts w:ascii="宋体" w:hAnsi="宋体" w:eastAsia="宋体" w:cs="宋体"/>
          <w:kern w:val="0"/>
          <w:sz w:val="24"/>
        </w:rPr>
      </w:pPr>
    </w:p>
    <w:p w14:paraId="3862866F">
      <w:pPr>
        <w:pStyle w:val="2"/>
        <w:jc w:val="left"/>
        <w:rPr>
          <w:rFonts w:ascii="宋体" w:hAnsi="宋体" w:eastAsia="宋体" w:cs="宋体"/>
          <w:kern w:val="0"/>
          <w:sz w:val="24"/>
        </w:rPr>
      </w:pPr>
    </w:p>
    <w:p w14:paraId="5A589D95">
      <w:pPr>
        <w:pStyle w:val="2"/>
        <w:jc w:val="left"/>
        <w:rPr>
          <w:rFonts w:ascii="宋体" w:hAnsi="宋体" w:eastAsia="宋体" w:cs="宋体"/>
          <w:kern w:val="0"/>
          <w:sz w:val="24"/>
        </w:rPr>
      </w:pPr>
    </w:p>
    <w:p w14:paraId="4759F254">
      <w:pPr>
        <w:pStyle w:val="2"/>
        <w:jc w:val="left"/>
        <w:rPr>
          <w:rFonts w:ascii="宋体" w:hAnsi="宋体" w:eastAsia="宋体" w:cs="宋体"/>
          <w:kern w:val="0"/>
          <w:sz w:val="24"/>
        </w:rPr>
      </w:pPr>
    </w:p>
    <w:p w14:paraId="7A8316AB">
      <w:pPr>
        <w:pStyle w:val="2"/>
        <w:jc w:val="left"/>
        <w:rPr>
          <w:rFonts w:ascii="宋体" w:hAnsi="宋体" w:eastAsia="宋体" w:cs="宋体"/>
          <w:kern w:val="0"/>
          <w:sz w:val="24"/>
        </w:rPr>
      </w:pPr>
    </w:p>
    <w:p w14:paraId="0362486F">
      <w:pPr>
        <w:pStyle w:val="2"/>
        <w:jc w:val="left"/>
        <w:rPr>
          <w:rFonts w:ascii="宋体" w:hAnsi="宋体" w:eastAsia="宋体" w:cs="宋体"/>
          <w:kern w:val="0"/>
          <w:sz w:val="24"/>
        </w:rPr>
      </w:pPr>
    </w:p>
    <w:sectPr>
      <w:pgSz w:w="16838" w:h="11906" w:orient="landscape"/>
      <w:pgMar w:top="1531" w:right="2098" w:bottom="1531" w:left="1985"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endnote>
  <w:endnote w:type="continuationSeparator"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方正小标宋_GBK">
    <w:panose1 w:val="03000509000000000000"/>
    <w:charset w:val="86"/>
    <w:family w:val="script"/>
    <w:pitch w:val="default"/>
    <w:sig w:usb0="00000001" w:usb1="080E0000" w:usb2="00000000" w:usb3="00000000" w:csb0="00040000" w:csb1="00000000"/>
  </w:font>
  <w:font w:name="方正黑体_GBK">
    <w:panose1 w:val="03000509000000000000"/>
    <w:charset w:val="86"/>
    <w:family w:val="script"/>
    <w:pitch w:val="default"/>
    <w:sig w:usb0="00000001" w:usb1="080E0000" w:usb2="00000000" w:usb3="00000000" w:csb0="00040000" w:csb1="00000000"/>
  </w:font>
  <w:font w:name="方正仿宋_GBK">
    <w:panose1 w:val="03000509000000000000"/>
    <w:charset w:val="86"/>
    <w:family w:val="script"/>
    <w:pitch w:val="default"/>
    <w:sig w:usb0="00000001" w:usb1="080E0000" w:usb2="00000000" w:usb3="00000000" w:csb0="00040000" w:csb1="00000000"/>
  </w:font>
  <w:font w:name="方正楷体_GBK">
    <w:panose1 w:val="03000509000000000000"/>
    <w:charset w:val="86"/>
    <w:family w:val="script"/>
    <w:pitch w:val="default"/>
    <w:sig w:usb0="00000001" w:usb1="080E0000" w:usb2="00000000" w:usb3="00000000" w:csb0="00040000" w:csb1="00000000"/>
  </w:font>
  <w:font w:name="MingLiU">
    <w:altName w:val="PMingLiU-ExtB"/>
    <w:panose1 w:val="02010609000101010101"/>
    <w:charset w:val="88"/>
    <w:family w:val="modern"/>
    <w:pitch w:val="default"/>
    <w:sig w:usb0="00000000" w:usb1="00000000" w:usb2="00000010" w:usb3="00000000" w:csb0="00100000" w:csb1="00000000"/>
  </w:font>
  <w:font w:name="PMingLiU-ExtB">
    <w:panose1 w:val="02020500000000000000"/>
    <w:charset w:val="88"/>
    <w:family w:val="auto"/>
    <w:pitch w:val="default"/>
    <w:sig w:usb0="8000002F" w:usb1="02000008" w:usb2="00000000" w:usb3="00000000" w:csb0="001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footnote>
  <w:footnote w:type="continuationSeparator" w:id="1">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FF9603"/>
    <w:multiLevelType w:val="singleLevel"/>
    <w:tmpl w:val="16FF9603"/>
    <w:lvl w:ilvl="0" w:tentative="0">
      <w:start w:val="1"/>
      <w:numFmt w:val="decimal"/>
      <w:suff w:val="space"/>
      <w:lvlText w:val="%1."/>
      <w:lvlJc w:val="left"/>
      <w:pPr>
        <w:ind w:left="480" w:firstLine="0"/>
      </w:pPr>
    </w:lvl>
  </w:abstractNum>
  <w:abstractNum w:abstractNumId="1">
    <w:nsid w:val="4FC9E6E2"/>
    <w:multiLevelType w:val="singleLevel"/>
    <w:tmpl w:val="4FC9E6E2"/>
    <w:lvl w:ilvl="0" w:tentative="0">
      <w:start w:val="3"/>
      <w:numFmt w:val="chineseCounting"/>
      <w:suff w:val="nothing"/>
      <w:lvlText w:val="（%1）"/>
      <w:lvlJc w:val="left"/>
      <w:rPr>
        <w:rFonts w:hint="eastAsia"/>
      </w:rPr>
    </w:lvl>
  </w:abstractNum>
  <w:abstractNum w:abstractNumId="2">
    <w:nsid w:val="57CFC702"/>
    <w:multiLevelType w:val="multilevel"/>
    <w:tmpl w:val="57CFC702"/>
    <w:lvl w:ilvl="0" w:tentative="0">
      <w:start w:val="1"/>
      <w:numFmt w:val="chineseCounting"/>
      <w:suff w:val="nothing"/>
      <w:lvlText w:val="%1、"/>
      <w:lvlJc w:val="left"/>
      <w:pPr>
        <w:tabs>
          <w:tab w:val="left" w:pos="0"/>
        </w:tabs>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57CFC718"/>
    <w:multiLevelType w:val="multilevel"/>
    <w:tmpl w:val="57CFC718"/>
    <w:lvl w:ilvl="0" w:tentative="0">
      <w:start w:val="1"/>
      <w:numFmt w:val="japaneseCounting"/>
      <w:lvlText w:val="%1、"/>
      <w:lvlJc w:val="left"/>
      <w:pPr>
        <w:tabs>
          <w:tab w:val="left" w:pos="1230"/>
        </w:tabs>
        <w:ind w:left="1230" w:hanging="810"/>
      </w:pPr>
      <w:rPr>
        <w:rFonts w:hint="eastAsia" w:ascii="仿宋" w:hAnsi="仿宋" w:eastAsia="仿宋" w:cs="Times New Roman"/>
      </w:rPr>
    </w:lvl>
    <w:lvl w:ilvl="1" w:tentative="0">
      <w:start w:val="1"/>
      <w:numFmt w:val="lowerLetter"/>
      <w:lvlText w:val="%2)"/>
      <w:lvlJc w:val="left"/>
      <w:pPr>
        <w:tabs>
          <w:tab w:val="left" w:pos="1260"/>
        </w:tabs>
        <w:ind w:left="1260" w:hanging="420"/>
      </w:pPr>
      <w:rPr>
        <w:rFonts w:hint="default" w:ascii="Times New Roman" w:hAnsi="Times New Roman" w:cs="Times New Roman"/>
      </w:rPr>
    </w:lvl>
    <w:lvl w:ilvl="2" w:tentative="0">
      <w:start w:val="1"/>
      <w:numFmt w:val="lowerRoman"/>
      <w:lvlText w:val="%3."/>
      <w:lvlJc w:val="right"/>
      <w:pPr>
        <w:tabs>
          <w:tab w:val="left" w:pos="1680"/>
        </w:tabs>
        <w:ind w:left="1680" w:hanging="420"/>
      </w:pPr>
      <w:rPr>
        <w:rFonts w:hint="default" w:ascii="Times New Roman" w:hAnsi="Times New Roman" w:cs="Times New Roman"/>
      </w:rPr>
    </w:lvl>
    <w:lvl w:ilvl="3" w:tentative="0">
      <w:start w:val="1"/>
      <w:numFmt w:val="decimal"/>
      <w:lvlText w:val="%4."/>
      <w:lvlJc w:val="left"/>
      <w:pPr>
        <w:tabs>
          <w:tab w:val="left" w:pos="2100"/>
        </w:tabs>
        <w:ind w:left="2100" w:hanging="420"/>
      </w:pPr>
      <w:rPr>
        <w:rFonts w:hint="default" w:ascii="Times New Roman" w:hAnsi="Times New Roman" w:cs="Times New Roman"/>
      </w:rPr>
    </w:lvl>
    <w:lvl w:ilvl="4" w:tentative="0">
      <w:start w:val="1"/>
      <w:numFmt w:val="lowerLetter"/>
      <w:lvlText w:val="%5)"/>
      <w:lvlJc w:val="left"/>
      <w:pPr>
        <w:tabs>
          <w:tab w:val="left" w:pos="2520"/>
        </w:tabs>
        <w:ind w:left="2520" w:hanging="420"/>
      </w:pPr>
      <w:rPr>
        <w:rFonts w:hint="default" w:ascii="Times New Roman" w:hAnsi="Times New Roman" w:cs="Times New Roman"/>
      </w:rPr>
    </w:lvl>
    <w:lvl w:ilvl="5" w:tentative="0">
      <w:start w:val="1"/>
      <w:numFmt w:val="lowerRoman"/>
      <w:lvlText w:val="%6."/>
      <w:lvlJc w:val="right"/>
      <w:pPr>
        <w:tabs>
          <w:tab w:val="left" w:pos="2940"/>
        </w:tabs>
        <w:ind w:left="2940" w:hanging="420"/>
      </w:pPr>
      <w:rPr>
        <w:rFonts w:hint="default" w:ascii="Times New Roman" w:hAnsi="Times New Roman" w:cs="Times New Roman"/>
      </w:rPr>
    </w:lvl>
    <w:lvl w:ilvl="6" w:tentative="0">
      <w:start w:val="1"/>
      <w:numFmt w:val="decimal"/>
      <w:lvlText w:val="%7."/>
      <w:lvlJc w:val="left"/>
      <w:pPr>
        <w:tabs>
          <w:tab w:val="left" w:pos="3360"/>
        </w:tabs>
        <w:ind w:left="3360" w:hanging="420"/>
      </w:pPr>
      <w:rPr>
        <w:rFonts w:hint="default" w:ascii="Times New Roman" w:hAnsi="Times New Roman" w:cs="Times New Roman"/>
      </w:rPr>
    </w:lvl>
    <w:lvl w:ilvl="7" w:tentative="0">
      <w:start w:val="1"/>
      <w:numFmt w:val="lowerLetter"/>
      <w:lvlText w:val="%8)"/>
      <w:lvlJc w:val="left"/>
      <w:pPr>
        <w:tabs>
          <w:tab w:val="left" w:pos="3780"/>
        </w:tabs>
        <w:ind w:left="3780" w:hanging="420"/>
      </w:pPr>
      <w:rPr>
        <w:rFonts w:hint="default" w:ascii="Times New Roman" w:hAnsi="Times New Roman" w:cs="Times New Roman"/>
      </w:rPr>
    </w:lvl>
    <w:lvl w:ilvl="8" w:tentative="0">
      <w:start w:val="1"/>
      <w:numFmt w:val="lowerRoman"/>
      <w:lvlText w:val="%9."/>
      <w:lvlJc w:val="right"/>
      <w:pPr>
        <w:tabs>
          <w:tab w:val="left" w:pos="4200"/>
        </w:tabs>
        <w:ind w:left="4200" w:hanging="420"/>
      </w:pPr>
      <w:rPr>
        <w:rFonts w:hint="default" w:ascii="Times New Roman" w:hAnsi="Times New Roman" w:cs="Times New Roman"/>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Q5MzM1NmI5NjBkNWM0ZDQyMTU3N2E3Y2RiNmYyZmEifQ=="/>
    <w:docVar w:name="KSO_WPS_MARK_KEY" w:val="e32f6cf5-25ef-492c-8def-25b423a77802"/>
  </w:docVars>
  <w:rsids>
    <w:rsidRoot w:val="001F473E"/>
    <w:rsid w:val="00001AA6"/>
    <w:rsid w:val="000052A8"/>
    <w:rsid w:val="00020174"/>
    <w:rsid w:val="0003024A"/>
    <w:rsid w:val="00034E41"/>
    <w:rsid w:val="000406E1"/>
    <w:rsid w:val="00050231"/>
    <w:rsid w:val="00051803"/>
    <w:rsid w:val="000518F8"/>
    <w:rsid w:val="000574E0"/>
    <w:rsid w:val="00057CCC"/>
    <w:rsid w:val="00066C29"/>
    <w:rsid w:val="00081658"/>
    <w:rsid w:val="00086938"/>
    <w:rsid w:val="000937CC"/>
    <w:rsid w:val="00094179"/>
    <w:rsid w:val="00097192"/>
    <w:rsid w:val="00097C04"/>
    <w:rsid w:val="000A49F1"/>
    <w:rsid w:val="000A4D49"/>
    <w:rsid w:val="000A5EDD"/>
    <w:rsid w:val="000B3B39"/>
    <w:rsid w:val="000C32B4"/>
    <w:rsid w:val="000C76C8"/>
    <w:rsid w:val="000D3324"/>
    <w:rsid w:val="000D5E1D"/>
    <w:rsid w:val="000E4E48"/>
    <w:rsid w:val="000F4E03"/>
    <w:rsid w:val="000F5A15"/>
    <w:rsid w:val="001016C5"/>
    <w:rsid w:val="001026A2"/>
    <w:rsid w:val="0010293A"/>
    <w:rsid w:val="001029DA"/>
    <w:rsid w:val="001118CA"/>
    <w:rsid w:val="0011371E"/>
    <w:rsid w:val="001169F1"/>
    <w:rsid w:val="001176BB"/>
    <w:rsid w:val="00122351"/>
    <w:rsid w:val="00122FB3"/>
    <w:rsid w:val="00123E9D"/>
    <w:rsid w:val="0012490C"/>
    <w:rsid w:val="00130337"/>
    <w:rsid w:val="00134077"/>
    <w:rsid w:val="00135BC1"/>
    <w:rsid w:val="00142B98"/>
    <w:rsid w:val="00145DDB"/>
    <w:rsid w:val="0014760F"/>
    <w:rsid w:val="00147B27"/>
    <w:rsid w:val="00150D5B"/>
    <w:rsid w:val="00151627"/>
    <w:rsid w:val="00157C95"/>
    <w:rsid w:val="0016243B"/>
    <w:rsid w:val="00165E1E"/>
    <w:rsid w:val="001660BB"/>
    <w:rsid w:val="001876E6"/>
    <w:rsid w:val="00196DD9"/>
    <w:rsid w:val="001B3641"/>
    <w:rsid w:val="001B4796"/>
    <w:rsid w:val="001C58EC"/>
    <w:rsid w:val="001C5EFA"/>
    <w:rsid w:val="001D06A8"/>
    <w:rsid w:val="001D0B5A"/>
    <w:rsid w:val="001D1650"/>
    <w:rsid w:val="001E082D"/>
    <w:rsid w:val="001E2D47"/>
    <w:rsid w:val="001E51FE"/>
    <w:rsid w:val="001F473E"/>
    <w:rsid w:val="001F62DD"/>
    <w:rsid w:val="002020C6"/>
    <w:rsid w:val="00205FE1"/>
    <w:rsid w:val="00211D55"/>
    <w:rsid w:val="00216444"/>
    <w:rsid w:val="00225140"/>
    <w:rsid w:val="00227AA5"/>
    <w:rsid w:val="00230217"/>
    <w:rsid w:val="00234B31"/>
    <w:rsid w:val="0024213D"/>
    <w:rsid w:val="0024261B"/>
    <w:rsid w:val="00247D3C"/>
    <w:rsid w:val="00251AA7"/>
    <w:rsid w:val="002531F3"/>
    <w:rsid w:val="00253C03"/>
    <w:rsid w:val="00256D05"/>
    <w:rsid w:val="00272293"/>
    <w:rsid w:val="002740DD"/>
    <w:rsid w:val="0027518B"/>
    <w:rsid w:val="002752CA"/>
    <w:rsid w:val="00276D14"/>
    <w:rsid w:val="002829CE"/>
    <w:rsid w:val="00282F52"/>
    <w:rsid w:val="002936DE"/>
    <w:rsid w:val="002A08A8"/>
    <w:rsid w:val="002A475F"/>
    <w:rsid w:val="002A6F33"/>
    <w:rsid w:val="002C4BAE"/>
    <w:rsid w:val="002D39D4"/>
    <w:rsid w:val="002D5365"/>
    <w:rsid w:val="002E07EB"/>
    <w:rsid w:val="002E2B1B"/>
    <w:rsid w:val="002E4A76"/>
    <w:rsid w:val="002F06D9"/>
    <w:rsid w:val="002F1E8D"/>
    <w:rsid w:val="002F265F"/>
    <w:rsid w:val="00300896"/>
    <w:rsid w:val="00310D84"/>
    <w:rsid w:val="00321B6F"/>
    <w:rsid w:val="003271EF"/>
    <w:rsid w:val="00331506"/>
    <w:rsid w:val="003337B8"/>
    <w:rsid w:val="0034113E"/>
    <w:rsid w:val="003411A7"/>
    <w:rsid w:val="0034718B"/>
    <w:rsid w:val="0035036C"/>
    <w:rsid w:val="00356B2C"/>
    <w:rsid w:val="003645E5"/>
    <w:rsid w:val="0037169C"/>
    <w:rsid w:val="00374DEA"/>
    <w:rsid w:val="00375BBA"/>
    <w:rsid w:val="0038226F"/>
    <w:rsid w:val="00385E32"/>
    <w:rsid w:val="00386B6C"/>
    <w:rsid w:val="003952CA"/>
    <w:rsid w:val="0039543C"/>
    <w:rsid w:val="00396AFC"/>
    <w:rsid w:val="003A51C1"/>
    <w:rsid w:val="003A75E8"/>
    <w:rsid w:val="003B02ED"/>
    <w:rsid w:val="003B7FBD"/>
    <w:rsid w:val="003D3E7D"/>
    <w:rsid w:val="003D5300"/>
    <w:rsid w:val="003D5797"/>
    <w:rsid w:val="003D7987"/>
    <w:rsid w:val="003F0F25"/>
    <w:rsid w:val="003F3F6C"/>
    <w:rsid w:val="003F7441"/>
    <w:rsid w:val="004013E4"/>
    <w:rsid w:val="00410B83"/>
    <w:rsid w:val="00416857"/>
    <w:rsid w:val="0042204E"/>
    <w:rsid w:val="004243DE"/>
    <w:rsid w:val="0043085B"/>
    <w:rsid w:val="00433EA5"/>
    <w:rsid w:val="004348A6"/>
    <w:rsid w:val="00436B4C"/>
    <w:rsid w:val="00437B09"/>
    <w:rsid w:val="00450997"/>
    <w:rsid w:val="00452DE1"/>
    <w:rsid w:val="00456B01"/>
    <w:rsid w:val="0047060A"/>
    <w:rsid w:val="00472F79"/>
    <w:rsid w:val="00474DD9"/>
    <w:rsid w:val="00477FEC"/>
    <w:rsid w:val="00484AB2"/>
    <w:rsid w:val="00486BAA"/>
    <w:rsid w:val="004962CE"/>
    <w:rsid w:val="00497A2E"/>
    <w:rsid w:val="00497A85"/>
    <w:rsid w:val="004B04F7"/>
    <w:rsid w:val="004B1AD2"/>
    <w:rsid w:val="004D0E81"/>
    <w:rsid w:val="004D134A"/>
    <w:rsid w:val="004D49C1"/>
    <w:rsid w:val="004D6291"/>
    <w:rsid w:val="004D6FF7"/>
    <w:rsid w:val="004E4CD6"/>
    <w:rsid w:val="004F4FB1"/>
    <w:rsid w:val="004F6822"/>
    <w:rsid w:val="004F684F"/>
    <w:rsid w:val="004F7915"/>
    <w:rsid w:val="00510A10"/>
    <w:rsid w:val="00511A48"/>
    <w:rsid w:val="00530F6D"/>
    <w:rsid w:val="0053685A"/>
    <w:rsid w:val="0054422C"/>
    <w:rsid w:val="00544695"/>
    <w:rsid w:val="00555559"/>
    <w:rsid w:val="00562EF7"/>
    <w:rsid w:val="0056575A"/>
    <w:rsid w:val="005674E1"/>
    <w:rsid w:val="005729F4"/>
    <w:rsid w:val="005801F6"/>
    <w:rsid w:val="00581727"/>
    <w:rsid w:val="005910B0"/>
    <w:rsid w:val="00592F85"/>
    <w:rsid w:val="0059382C"/>
    <w:rsid w:val="005A139B"/>
    <w:rsid w:val="005A1B02"/>
    <w:rsid w:val="005A4748"/>
    <w:rsid w:val="005B02CF"/>
    <w:rsid w:val="005B1820"/>
    <w:rsid w:val="005B49E6"/>
    <w:rsid w:val="005C1071"/>
    <w:rsid w:val="005D3651"/>
    <w:rsid w:val="005D3E63"/>
    <w:rsid w:val="005D4863"/>
    <w:rsid w:val="005D6FAB"/>
    <w:rsid w:val="005E2DF5"/>
    <w:rsid w:val="005F2E7C"/>
    <w:rsid w:val="005F334D"/>
    <w:rsid w:val="005F45F7"/>
    <w:rsid w:val="005F616A"/>
    <w:rsid w:val="00603424"/>
    <w:rsid w:val="00613888"/>
    <w:rsid w:val="0061404E"/>
    <w:rsid w:val="006239C0"/>
    <w:rsid w:val="00623BFD"/>
    <w:rsid w:val="00630BAF"/>
    <w:rsid w:val="0063166D"/>
    <w:rsid w:val="006367BB"/>
    <w:rsid w:val="00650238"/>
    <w:rsid w:val="00650650"/>
    <w:rsid w:val="00657F0C"/>
    <w:rsid w:val="0066442D"/>
    <w:rsid w:val="0066580E"/>
    <w:rsid w:val="00665BD6"/>
    <w:rsid w:val="00667165"/>
    <w:rsid w:val="00667BEC"/>
    <w:rsid w:val="006735BB"/>
    <w:rsid w:val="006818B2"/>
    <w:rsid w:val="00684260"/>
    <w:rsid w:val="00685477"/>
    <w:rsid w:val="00690606"/>
    <w:rsid w:val="006908FD"/>
    <w:rsid w:val="00692C9D"/>
    <w:rsid w:val="0069678F"/>
    <w:rsid w:val="00696857"/>
    <w:rsid w:val="006A18F4"/>
    <w:rsid w:val="006A3F79"/>
    <w:rsid w:val="006A408E"/>
    <w:rsid w:val="006A54C9"/>
    <w:rsid w:val="006A621B"/>
    <w:rsid w:val="006B10BC"/>
    <w:rsid w:val="006B2A4D"/>
    <w:rsid w:val="006B50C4"/>
    <w:rsid w:val="006D03AB"/>
    <w:rsid w:val="006D1754"/>
    <w:rsid w:val="006D2C89"/>
    <w:rsid w:val="006E57DE"/>
    <w:rsid w:val="006F2955"/>
    <w:rsid w:val="006F34A3"/>
    <w:rsid w:val="0070239D"/>
    <w:rsid w:val="00704FB1"/>
    <w:rsid w:val="00717738"/>
    <w:rsid w:val="00720EAE"/>
    <w:rsid w:val="007237C4"/>
    <w:rsid w:val="00724FED"/>
    <w:rsid w:val="00727344"/>
    <w:rsid w:val="00733B22"/>
    <w:rsid w:val="00735839"/>
    <w:rsid w:val="00735AFE"/>
    <w:rsid w:val="007377D6"/>
    <w:rsid w:val="00751303"/>
    <w:rsid w:val="00751588"/>
    <w:rsid w:val="007544F3"/>
    <w:rsid w:val="0075462D"/>
    <w:rsid w:val="00755395"/>
    <w:rsid w:val="007558D7"/>
    <w:rsid w:val="0076541C"/>
    <w:rsid w:val="00773A2E"/>
    <w:rsid w:val="00781151"/>
    <w:rsid w:val="0078255E"/>
    <w:rsid w:val="007832B0"/>
    <w:rsid w:val="007852CC"/>
    <w:rsid w:val="0079025A"/>
    <w:rsid w:val="00790D42"/>
    <w:rsid w:val="00790E14"/>
    <w:rsid w:val="00791CA2"/>
    <w:rsid w:val="00794824"/>
    <w:rsid w:val="007A0C7D"/>
    <w:rsid w:val="007A5547"/>
    <w:rsid w:val="007A7F6B"/>
    <w:rsid w:val="007B2F31"/>
    <w:rsid w:val="007C103E"/>
    <w:rsid w:val="007C2C01"/>
    <w:rsid w:val="007C55B1"/>
    <w:rsid w:val="007C761F"/>
    <w:rsid w:val="007C7AD0"/>
    <w:rsid w:val="007D2028"/>
    <w:rsid w:val="007D2B3C"/>
    <w:rsid w:val="007D4E93"/>
    <w:rsid w:val="007E14F4"/>
    <w:rsid w:val="007E5681"/>
    <w:rsid w:val="007E6618"/>
    <w:rsid w:val="007F14BF"/>
    <w:rsid w:val="007F249B"/>
    <w:rsid w:val="007F4908"/>
    <w:rsid w:val="0080766D"/>
    <w:rsid w:val="008139EE"/>
    <w:rsid w:val="00814092"/>
    <w:rsid w:val="0082050A"/>
    <w:rsid w:val="00825B84"/>
    <w:rsid w:val="00831BE7"/>
    <w:rsid w:val="00834830"/>
    <w:rsid w:val="00834D9A"/>
    <w:rsid w:val="008366BF"/>
    <w:rsid w:val="00841599"/>
    <w:rsid w:val="00842486"/>
    <w:rsid w:val="00842958"/>
    <w:rsid w:val="00845922"/>
    <w:rsid w:val="00845DB8"/>
    <w:rsid w:val="0084610F"/>
    <w:rsid w:val="008467B3"/>
    <w:rsid w:val="00851FCD"/>
    <w:rsid w:val="00855A89"/>
    <w:rsid w:val="008614AB"/>
    <w:rsid w:val="00861506"/>
    <w:rsid w:val="00864587"/>
    <w:rsid w:val="008753E5"/>
    <w:rsid w:val="00884981"/>
    <w:rsid w:val="008879F8"/>
    <w:rsid w:val="00887A3A"/>
    <w:rsid w:val="00890E0B"/>
    <w:rsid w:val="00890FCF"/>
    <w:rsid w:val="008A5F29"/>
    <w:rsid w:val="008B3447"/>
    <w:rsid w:val="008B5A21"/>
    <w:rsid w:val="008B74B7"/>
    <w:rsid w:val="008C1036"/>
    <w:rsid w:val="008D313D"/>
    <w:rsid w:val="008D512C"/>
    <w:rsid w:val="008E2555"/>
    <w:rsid w:val="008E6082"/>
    <w:rsid w:val="008F0ABB"/>
    <w:rsid w:val="008F4918"/>
    <w:rsid w:val="008F5C73"/>
    <w:rsid w:val="00901A80"/>
    <w:rsid w:val="00902358"/>
    <w:rsid w:val="00903345"/>
    <w:rsid w:val="009038FA"/>
    <w:rsid w:val="0091310C"/>
    <w:rsid w:val="009152A5"/>
    <w:rsid w:val="00920272"/>
    <w:rsid w:val="00924E73"/>
    <w:rsid w:val="00925D16"/>
    <w:rsid w:val="00936514"/>
    <w:rsid w:val="009370C3"/>
    <w:rsid w:val="00941A13"/>
    <w:rsid w:val="00944396"/>
    <w:rsid w:val="009517B1"/>
    <w:rsid w:val="0096102B"/>
    <w:rsid w:val="00980A5D"/>
    <w:rsid w:val="00981EB4"/>
    <w:rsid w:val="00991995"/>
    <w:rsid w:val="009963D0"/>
    <w:rsid w:val="00997AA9"/>
    <w:rsid w:val="009A0DF0"/>
    <w:rsid w:val="009A5B91"/>
    <w:rsid w:val="009A5C15"/>
    <w:rsid w:val="009A6A3E"/>
    <w:rsid w:val="009A7A6E"/>
    <w:rsid w:val="009B0388"/>
    <w:rsid w:val="009C79E8"/>
    <w:rsid w:val="009D126A"/>
    <w:rsid w:val="009D1CD3"/>
    <w:rsid w:val="009E7F55"/>
    <w:rsid w:val="00A02426"/>
    <w:rsid w:val="00A02E50"/>
    <w:rsid w:val="00A04573"/>
    <w:rsid w:val="00A04FF4"/>
    <w:rsid w:val="00A12CDE"/>
    <w:rsid w:val="00A16752"/>
    <w:rsid w:val="00A2295C"/>
    <w:rsid w:val="00A22B5C"/>
    <w:rsid w:val="00A22CB8"/>
    <w:rsid w:val="00A27C3D"/>
    <w:rsid w:val="00A3105D"/>
    <w:rsid w:val="00A33082"/>
    <w:rsid w:val="00A36CEA"/>
    <w:rsid w:val="00A37FF9"/>
    <w:rsid w:val="00A476EF"/>
    <w:rsid w:val="00A521BF"/>
    <w:rsid w:val="00A64446"/>
    <w:rsid w:val="00A669F2"/>
    <w:rsid w:val="00A67D96"/>
    <w:rsid w:val="00A7018D"/>
    <w:rsid w:val="00A733AC"/>
    <w:rsid w:val="00A74D81"/>
    <w:rsid w:val="00A8211D"/>
    <w:rsid w:val="00A8572E"/>
    <w:rsid w:val="00A91C9B"/>
    <w:rsid w:val="00A92B2F"/>
    <w:rsid w:val="00AA1869"/>
    <w:rsid w:val="00AB04AD"/>
    <w:rsid w:val="00AB4159"/>
    <w:rsid w:val="00AB600D"/>
    <w:rsid w:val="00AB676F"/>
    <w:rsid w:val="00AC4512"/>
    <w:rsid w:val="00AC77F1"/>
    <w:rsid w:val="00AD6C94"/>
    <w:rsid w:val="00AE2C4A"/>
    <w:rsid w:val="00AE624D"/>
    <w:rsid w:val="00AF28FF"/>
    <w:rsid w:val="00AF60E0"/>
    <w:rsid w:val="00B02195"/>
    <w:rsid w:val="00B02386"/>
    <w:rsid w:val="00B03B4F"/>
    <w:rsid w:val="00B10B84"/>
    <w:rsid w:val="00B14D28"/>
    <w:rsid w:val="00B14F1F"/>
    <w:rsid w:val="00B16BDF"/>
    <w:rsid w:val="00B22B9B"/>
    <w:rsid w:val="00B368EB"/>
    <w:rsid w:val="00B438CE"/>
    <w:rsid w:val="00B47D85"/>
    <w:rsid w:val="00B52B46"/>
    <w:rsid w:val="00B53AED"/>
    <w:rsid w:val="00B62CD0"/>
    <w:rsid w:val="00B65901"/>
    <w:rsid w:val="00B67335"/>
    <w:rsid w:val="00B70398"/>
    <w:rsid w:val="00B92EF5"/>
    <w:rsid w:val="00BA3A08"/>
    <w:rsid w:val="00BA453A"/>
    <w:rsid w:val="00BA55BE"/>
    <w:rsid w:val="00BB2A71"/>
    <w:rsid w:val="00BB6346"/>
    <w:rsid w:val="00BC368C"/>
    <w:rsid w:val="00BC379E"/>
    <w:rsid w:val="00BD110B"/>
    <w:rsid w:val="00BD469D"/>
    <w:rsid w:val="00BE43A9"/>
    <w:rsid w:val="00BE6EA9"/>
    <w:rsid w:val="00BF6584"/>
    <w:rsid w:val="00C00A8B"/>
    <w:rsid w:val="00C01850"/>
    <w:rsid w:val="00C04A73"/>
    <w:rsid w:val="00C15333"/>
    <w:rsid w:val="00C16ADC"/>
    <w:rsid w:val="00C21793"/>
    <w:rsid w:val="00C2756C"/>
    <w:rsid w:val="00C3145C"/>
    <w:rsid w:val="00C32BC2"/>
    <w:rsid w:val="00C35205"/>
    <w:rsid w:val="00C374B4"/>
    <w:rsid w:val="00C439C7"/>
    <w:rsid w:val="00C4771B"/>
    <w:rsid w:val="00C47C9D"/>
    <w:rsid w:val="00C515B8"/>
    <w:rsid w:val="00C51C73"/>
    <w:rsid w:val="00C62975"/>
    <w:rsid w:val="00C634F7"/>
    <w:rsid w:val="00C722C4"/>
    <w:rsid w:val="00C76141"/>
    <w:rsid w:val="00C763C7"/>
    <w:rsid w:val="00C82BD8"/>
    <w:rsid w:val="00C86C37"/>
    <w:rsid w:val="00C90312"/>
    <w:rsid w:val="00C94207"/>
    <w:rsid w:val="00C95FB7"/>
    <w:rsid w:val="00CA57BC"/>
    <w:rsid w:val="00CA6FDC"/>
    <w:rsid w:val="00CD1D57"/>
    <w:rsid w:val="00CD71AA"/>
    <w:rsid w:val="00CE6E6F"/>
    <w:rsid w:val="00CF6E76"/>
    <w:rsid w:val="00D01B8A"/>
    <w:rsid w:val="00D0250E"/>
    <w:rsid w:val="00D034D2"/>
    <w:rsid w:val="00D075AC"/>
    <w:rsid w:val="00D15945"/>
    <w:rsid w:val="00D16114"/>
    <w:rsid w:val="00D26CB8"/>
    <w:rsid w:val="00D2798D"/>
    <w:rsid w:val="00D301A9"/>
    <w:rsid w:val="00D30B54"/>
    <w:rsid w:val="00D3115A"/>
    <w:rsid w:val="00D34DB0"/>
    <w:rsid w:val="00D42672"/>
    <w:rsid w:val="00D518EC"/>
    <w:rsid w:val="00D533C4"/>
    <w:rsid w:val="00D53C79"/>
    <w:rsid w:val="00D621CB"/>
    <w:rsid w:val="00D622C9"/>
    <w:rsid w:val="00D65B86"/>
    <w:rsid w:val="00D6712E"/>
    <w:rsid w:val="00D6794F"/>
    <w:rsid w:val="00D8070A"/>
    <w:rsid w:val="00D81E24"/>
    <w:rsid w:val="00D86342"/>
    <w:rsid w:val="00D94AE2"/>
    <w:rsid w:val="00D9786F"/>
    <w:rsid w:val="00D97E48"/>
    <w:rsid w:val="00DA51AF"/>
    <w:rsid w:val="00DB04C2"/>
    <w:rsid w:val="00DB1C91"/>
    <w:rsid w:val="00DB2A7C"/>
    <w:rsid w:val="00DB3DA8"/>
    <w:rsid w:val="00DB4899"/>
    <w:rsid w:val="00DB500A"/>
    <w:rsid w:val="00DC37A9"/>
    <w:rsid w:val="00DC52F6"/>
    <w:rsid w:val="00DC7D57"/>
    <w:rsid w:val="00DC7F45"/>
    <w:rsid w:val="00DD03B6"/>
    <w:rsid w:val="00DD0DA9"/>
    <w:rsid w:val="00DD2165"/>
    <w:rsid w:val="00DD62F1"/>
    <w:rsid w:val="00DD63F3"/>
    <w:rsid w:val="00DD79F9"/>
    <w:rsid w:val="00DD7EDC"/>
    <w:rsid w:val="00DE56F7"/>
    <w:rsid w:val="00DF2ADF"/>
    <w:rsid w:val="00DF33AE"/>
    <w:rsid w:val="00E0512B"/>
    <w:rsid w:val="00E05A98"/>
    <w:rsid w:val="00E12848"/>
    <w:rsid w:val="00E20F01"/>
    <w:rsid w:val="00E22F92"/>
    <w:rsid w:val="00E260D2"/>
    <w:rsid w:val="00E2626E"/>
    <w:rsid w:val="00E265E5"/>
    <w:rsid w:val="00E27F8D"/>
    <w:rsid w:val="00E303EE"/>
    <w:rsid w:val="00E34B10"/>
    <w:rsid w:val="00E34BB3"/>
    <w:rsid w:val="00E37B83"/>
    <w:rsid w:val="00E42532"/>
    <w:rsid w:val="00E44348"/>
    <w:rsid w:val="00E4503E"/>
    <w:rsid w:val="00E54A23"/>
    <w:rsid w:val="00E57C82"/>
    <w:rsid w:val="00E612A2"/>
    <w:rsid w:val="00E63B08"/>
    <w:rsid w:val="00E81E7F"/>
    <w:rsid w:val="00E86DB4"/>
    <w:rsid w:val="00E87B29"/>
    <w:rsid w:val="00E920C8"/>
    <w:rsid w:val="00EA0238"/>
    <w:rsid w:val="00EA244F"/>
    <w:rsid w:val="00EA4591"/>
    <w:rsid w:val="00EB20FD"/>
    <w:rsid w:val="00EB694E"/>
    <w:rsid w:val="00EC14B5"/>
    <w:rsid w:val="00EC2967"/>
    <w:rsid w:val="00EC650B"/>
    <w:rsid w:val="00ED356F"/>
    <w:rsid w:val="00EE0AB4"/>
    <w:rsid w:val="00EE5919"/>
    <w:rsid w:val="00EE6A4B"/>
    <w:rsid w:val="00EE6B64"/>
    <w:rsid w:val="00EF1D1E"/>
    <w:rsid w:val="00EF3825"/>
    <w:rsid w:val="00F03857"/>
    <w:rsid w:val="00F043F1"/>
    <w:rsid w:val="00F062A5"/>
    <w:rsid w:val="00F11802"/>
    <w:rsid w:val="00F17351"/>
    <w:rsid w:val="00F17B88"/>
    <w:rsid w:val="00F20199"/>
    <w:rsid w:val="00F2367F"/>
    <w:rsid w:val="00F2540D"/>
    <w:rsid w:val="00F2578A"/>
    <w:rsid w:val="00F46ADC"/>
    <w:rsid w:val="00F51E17"/>
    <w:rsid w:val="00F53D18"/>
    <w:rsid w:val="00F55EAC"/>
    <w:rsid w:val="00F61AF0"/>
    <w:rsid w:val="00F644F1"/>
    <w:rsid w:val="00F67119"/>
    <w:rsid w:val="00F72A3F"/>
    <w:rsid w:val="00F75C89"/>
    <w:rsid w:val="00F80BE6"/>
    <w:rsid w:val="00F81FC4"/>
    <w:rsid w:val="00F82F63"/>
    <w:rsid w:val="00F8311F"/>
    <w:rsid w:val="00F85186"/>
    <w:rsid w:val="00F8647A"/>
    <w:rsid w:val="00F9487E"/>
    <w:rsid w:val="00FA0AF0"/>
    <w:rsid w:val="00FB6850"/>
    <w:rsid w:val="00FC1999"/>
    <w:rsid w:val="00FC3777"/>
    <w:rsid w:val="00FC40BC"/>
    <w:rsid w:val="00FC5368"/>
    <w:rsid w:val="00FC5A47"/>
    <w:rsid w:val="00FD4FA8"/>
    <w:rsid w:val="00FE50DA"/>
    <w:rsid w:val="00FF4476"/>
    <w:rsid w:val="0119242B"/>
    <w:rsid w:val="013C5079"/>
    <w:rsid w:val="0235369D"/>
    <w:rsid w:val="037E6D6A"/>
    <w:rsid w:val="03A45DB2"/>
    <w:rsid w:val="03C36E72"/>
    <w:rsid w:val="03E54A41"/>
    <w:rsid w:val="04043713"/>
    <w:rsid w:val="048E2D7C"/>
    <w:rsid w:val="04A45783"/>
    <w:rsid w:val="05111DBD"/>
    <w:rsid w:val="05B73216"/>
    <w:rsid w:val="063B203E"/>
    <w:rsid w:val="06975F81"/>
    <w:rsid w:val="075E1711"/>
    <w:rsid w:val="07CE38CD"/>
    <w:rsid w:val="07EA49C6"/>
    <w:rsid w:val="07F82AFD"/>
    <w:rsid w:val="08B87BA3"/>
    <w:rsid w:val="08CC1A09"/>
    <w:rsid w:val="09206A5C"/>
    <w:rsid w:val="0A157A8B"/>
    <w:rsid w:val="0A631FD6"/>
    <w:rsid w:val="0A7A035C"/>
    <w:rsid w:val="0B48616A"/>
    <w:rsid w:val="0B6C7DF0"/>
    <w:rsid w:val="0C354B64"/>
    <w:rsid w:val="0C59120F"/>
    <w:rsid w:val="0D4C066C"/>
    <w:rsid w:val="0D591FD3"/>
    <w:rsid w:val="0DD62E02"/>
    <w:rsid w:val="0E123F91"/>
    <w:rsid w:val="0F355C35"/>
    <w:rsid w:val="101B7947"/>
    <w:rsid w:val="102759C1"/>
    <w:rsid w:val="117731D3"/>
    <w:rsid w:val="11C04C86"/>
    <w:rsid w:val="139D3ACE"/>
    <w:rsid w:val="14185977"/>
    <w:rsid w:val="14625EB2"/>
    <w:rsid w:val="152F0EDE"/>
    <w:rsid w:val="15C418F5"/>
    <w:rsid w:val="166360AD"/>
    <w:rsid w:val="16CD5FE6"/>
    <w:rsid w:val="17013CC2"/>
    <w:rsid w:val="176A1EB0"/>
    <w:rsid w:val="17DD00AB"/>
    <w:rsid w:val="18344517"/>
    <w:rsid w:val="1900641F"/>
    <w:rsid w:val="197E766C"/>
    <w:rsid w:val="19906125"/>
    <w:rsid w:val="19B2766A"/>
    <w:rsid w:val="1A4377BD"/>
    <w:rsid w:val="1A796571"/>
    <w:rsid w:val="1AF134AC"/>
    <w:rsid w:val="1B3C59D9"/>
    <w:rsid w:val="1C077FF0"/>
    <w:rsid w:val="1CA44A0F"/>
    <w:rsid w:val="1D8E3BE9"/>
    <w:rsid w:val="1DE35E71"/>
    <w:rsid w:val="1E1D253F"/>
    <w:rsid w:val="1F4B6C38"/>
    <w:rsid w:val="1F4F46D9"/>
    <w:rsid w:val="20297412"/>
    <w:rsid w:val="210C194D"/>
    <w:rsid w:val="22C14F1D"/>
    <w:rsid w:val="23196E81"/>
    <w:rsid w:val="232960E0"/>
    <w:rsid w:val="2358443F"/>
    <w:rsid w:val="23C84DE9"/>
    <w:rsid w:val="244F57AD"/>
    <w:rsid w:val="24581F81"/>
    <w:rsid w:val="24B131CC"/>
    <w:rsid w:val="250251D9"/>
    <w:rsid w:val="25B70A7F"/>
    <w:rsid w:val="2663398D"/>
    <w:rsid w:val="26D2021E"/>
    <w:rsid w:val="276A4A67"/>
    <w:rsid w:val="27E06488"/>
    <w:rsid w:val="284D11FB"/>
    <w:rsid w:val="28D84447"/>
    <w:rsid w:val="291120F3"/>
    <w:rsid w:val="295454C1"/>
    <w:rsid w:val="297D7D7E"/>
    <w:rsid w:val="2A3522A3"/>
    <w:rsid w:val="2AC36069"/>
    <w:rsid w:val="2BCB6ACF"/>
    <w:rsid w:val="2BE857DD"/>
    <w:rsid w:val="2C786778"/>
    <w:rsid w:val="2CC16222"/>
    <w:rsid w:val="2CE4094E"/>
    <w:rsid w:val="2D2B27E3"/>
    <w:rsid w:val="2D9804AB"/>
    <w:rsid w:val="2DBA372D"/>
    <w:rsid w:val="2E084E6A"/>
    <w:rsid w:val="2E5D0FD5"/>
    <w:rsid w:val="2F3445FD"/>
    <w:rsid w:val="2FB768F7"/>
    <w:rsid w:val="300001FF"/>
    <w:rsid w:val="300C7689"/>
    <w:rsid w:val="300F5F1A"/>
    <w:rsid w:val="307E328B"/>
    <w:rsid w:val="30993591"/>
    <w:rsid w:val="30E03B76"/>
    <w:rsid w:val="31595711"/>
    <w:rsid w:val="31656ED7"/>
    <w:rsid w:val="31692C0D"/>
    <w:rsid w:val="32285F6F"/>
    <w:rsid w:val="322F175F"/>
    <w:rsid w:val="32C5422C"/>
    <w:rsid w:val="33AF533C"/>
    <w:rsid w:val="349368AF"/>
    <w:rsid w:val="35571172"/>
    <w:rsid w:val="369E5EB9"/>
    <w:rsid w:val="36DB024D"/>
    <w:rsid w:val="36E70C7A"/>
    <w:rsid w:val="377466C1"/>
    <w:rsid w:val="37AF1E77"/>
    <w:rsid w:val="37B86942"/>
    <w:rsid w:val="37E238DF"/>
    <w:rsid w:val="383B6D47"/>
    <w:rsid w:val="38FA1288"/>
    <w:rsid w:val="395B4E7C"/>
    <w:rsid w:val="399F211E"/>
    <w:rsid w:val="39B252C7"/>
    <w:rsid w:val="3BA5094A"/>
    <w:rsid w:val="3BB10386"/>
    <w:rsid w:val="3BD86C83"/>
    <w:rsid w:val="3C487939"/>
    <w:rsid w:val="3C6E76FF"/>
    <w:rsid w:val="3D307460"/>
    <w:rsid w:val="3D4C1169"/>
    <w:rsid w:val="3DF21B38"/>
    <w:rsid w:val="3DFC0F76"/>
    <w:rsid w:val="3F972A0C"/>
    <w:rsid w:val="40604FBF"/>
    <w:rsid w:val="40CB7C66"/>
    <w:rsid w:val="40D20119"/>
    <w:rsid w:val="4111122D"/>
    <w:rsid w:val="412D3376"/>
    <w:rsid w:val="41340EC1"/>
    <w:rsid w:val="429F137E"/>
    <w:rsid w:val="43B041E5"/>
    <w:rsid w:val="440573D2"/>
    <w:rsid w:val="44901396"/>
    <w:rsid w:val="44AC34D8"/>
    <w:rsid w:val="44CD0C12"/>
    <w:rsid w:val="457C2402"/>
    <w:rsid w:val="46BF457C"/>
    <w:rsid w:val="4729321B"/>
    <w:rsid w:val="47454E67"/>
    <w:rsid w:val="4786429E"/>
    <w:rsid w:val="478D08F6"/>
    <w:rsid w:val="47976B41"/>
    <w:rsid w:val="47F71373"/>
    <w:rsid w:val="480819E7"/>
    <w:rsid w:val="480A6881"/>
    <w:rsid w:val="481D5682"/>
    <w:rsid w:val="483F6EFA"/>
    <w:rsid w:val="4865482A"/>
    <w:rsid w:val="4886148A"/>
    <w:rsid w:val="48B865FB"/>
    <w:rsid w:val="48DB254C"/>
    <w:rsid w:val="48F2373E"/>
    <w:rsid w:val="49291190"/>
    <w:rsid w:val="49C472B5"/>
    <w:rsid w:val="49D41C5A"/>
    <w:rsid w:val="49EF2CBD"/>
    <w:rsid w:val="4A141B1B"/>
    <w:rsid w:val="4A1D5407"/>
    <w:rsid w:val="4B65233F"/>
    <w:rsid w:val="4BF63C02"/>
    <w:rsid w:val="4CD35567"/>
    <w:rsid w:val="4D386344"/>
    <w:rsid w:val="4D666E75"/>
    <w:rsid w:val="4DB362AB"/>
    <w:rsid w:val="4E6C6C71"/>
    <w:rsid w:val="4F361873"/>
    <w:rsid w:val="4F4E5EAA"/>
    <w:rsid w:val="4F7C5FF7"/>
    <w:rsid w:val="4FF35E04"/>
    <w:rsid w:val="50347433"/>
    <w:rsid w:val="50841D01"/>
    <w:rsid w:val="50EB43A1"/>
    <w:rsid w:val="5200524A"/>
    <w:rsid w:val="52323478"/>
    <w:rsid w:val="523E39C0"/>
    <w:rsid w:val="52954B6A"/>
    <w:rsid w:val="53BE4EC4"/>
    <w:rsid w:val="54FF2757"/>
    <w:rsid w:val="56101070"/>
    <w:rsid w:val="570572B3"/>
    <w:rsid w:val="57410FBF"/>
    <w:rsid w:val="57686C8A"/>
    <w:rsid w:val="5864359A"/>
    <w:rsid w:val="587C1A54"/>
    <w:rsid w:val="58812AD2"/>
    <w:rsid w:val="58A20A99"/>
    <w:rsid w:val="58AB16C0"/>
    <w:rsid w:val="59084760"/>
    <w:rsid w:val="591A29EC"/>
    <w:rsid w:val="593412A1"/>
    <w:rsid w:val="593B4656"/>
    <w:rsid w:val="593F74A3"/>
    <w:rsid w:val="59C41DDA"/>
    <w:rsid w:val="59CA2C45"/>
    <w:rsid w:val="5B021D0A"/>
    <w:rsid w:val="5B3272B4"/>
    <w:rsid w:val="5CDA023A"/>
    <w:rsid w:val="5D172CE4"/>
    <w:rsid w:val="5D6177C3"/>
    <w:rsid w:val="5DF41277"/>
    <w:rsid w:val="5E81506C"/>
    <w:rsid w:val="5EC54AA2"/>
    <w:rsid w:val="5F6146EB"/>
    <w:rsid w:val="5FCE1561"/>
    <w:rsid w:val="600A6B30"/>
    <w:rsid w:val="605A36AC"/>
    <w:rsid w:val="608B5409"/>
    <w:rsid w:val="609C38F3"/>
    <w:rsid w:val="60B007C7"/>
    <w:rsid w:val="61354081"/>
    <w:rsid w:val="621A1294"/>
    <w:rsid w:val="62E31117"/>
    <w:rsid w:val="64942ACE"/>
    <w:rsid w:val="6495656D"/>
    <w:rsid w:val="64AA7459"/>
    <w:rsid w:val="64C148DF"/>
    <w:rsid w:val="64CE61BE"/>
    <w:rsid w:val="6548646C"/>
    <w:rsid w:val="655F2561"/>
    <w:rsid w:val="65BA361F"/>
    <w:rsid w:val="662E47C5"/>
    <w:rsid w:val="665635EE"/>
    <w:rsid w:val="66841CB7"/>
    <w:rsid w:val="66CC6BC0"/>
    <w:rsid w:val="6744253A"/>
    <w:rsid w:val="674726FA"/>
    <w:rsid w:val="67864F4F"/>
    <w:rsid w:val="684D322D"/>
    <w:rsid w:val="689C1CAC"/>
    <w:rsid w:val="68DD7F72"/>
    <w:rsid w:val="69241E02"/>
    <w:rsid w:val="6A6C4380"/>
    <w:rsid w:val="6B2E1664"/>
    <w:rsid w:val="6C7164FC"/>
    <w:rsid w:val="6C91203E"/>
    <w:rsid w:val="6D105BC7"/>
    <w:rsid w:val="6D205371"/>
    <w:rsid w:val="6D6B53E5"/>
    <w:rsid w:val="6DAD31F1"/>
    <w:rsid w:val="6F046E40"/>
    <w:rsid w:val="6F0567F5"/>
    <w:rsid w:val="70540F6B"/>
    <w:rsid w:val="71096B8F"/>
    <w:rsid w:val="712A5735"/>
    <w:rsid w:val="71821600"/>
    <w:rsid w:val="71E77484"/>
    <w:rsid w:val="722A7CD4"/>
    <w:rsid w:val="727A45B0"/>
    <w:rsid w:val="728819A4"/>
    <w:rsid w:val="728A331A"/>
    <w:rsid w:val="72F834AA"/>
    <w:rsid w:val="739B0EA2"/>
    <w:rsid w:val="74012D87"/>
    <w:rsid w:val="747B51C3"/>
    <w:rsid w:val="74820E90"/>
    <w:rsid w:val="74AD6318"/>
    <w:rsid w:val="750D4693"/>
    <w:rsid w:val="76241587"/>
    <w:rsid w:val="76381064"/>
    <w:rsid w:val="76E477E5"/>
    <w:rsid w:val="76F4285D"/>
    <w:rsid w:val="774930B4"/>
    <w:rsid w:val="77731007"/>
    <w:rsid w:val="78B7154F"/>
    <w:rsid w:val="78C523FF"/>
    <w:rsid w:val="78D31A3B"/>
    <w:rsid w:val="79A71813"/>
    <w:rsid w:val="79B161A0"/>
    <w:rsid w:val="7A41363F"/>
    <w:rsid w:val="7A770984"/>
    <w:rsid w:val="7A7E5845"/>
    <w:rsid w:val="7A93467E"/>
    <w:rsid w:val="7AA00DA0"/>
    <w:rsid w:val="7BC519ED"/>
    <w:rsid w:val="7D8E0597"/>
    <w:rsid w:val="7E6A1162"/>
    <w:rsid w:val="7F3D14C4"/>
    <w:rsid w:val="7F914E39"/>
    <w:rsid w:val="7FD72C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21"/>
    <w:qFormat/>
    <w:uiPriority w:val="9"/>
    <w:pPr>
      <w:keepNext/>
      <w:keepLines/>
      <w:spacing w:before="340" w:after="330" w:line="578" w:lineRule="auto"/>
      <w:outlineLvl w:val="0"/>
    </w:pPr>
    <w:rPr>
      <w:rFonts w:ascii="Times New Roman" w:hAnsi="Times New Roman" w:eastAsia="宋体" w:cs="Times New Roman"/>
      <w:b/>
      <w:bCs/>
      <w:kern w:val="44"/>
      <w:sz w:val="44"/>
      <w:szCs w:val="44"/>
    </w:rPr>
  </w:style>
  <w:style w:type="paragraph" w:styleId="4">
    <w:name w:val="heading 2"/>
    <w:basedOn w:val="1"/>
    <w:next w:val="1"/>
    <w:link w:val="22"/>
    <w:qFormat/>
    <w:uiPriority w:val="0"/>
    <w:pPr>
      <w:keepNext/>
      <w:keepLines/>
      <w:spacing w:before="260" w:after="260" w:line="416" w:lineRule="auto"/>
      <w:outlineLvl w:val="1"/>
    </w:pPr>
    <w:rPr>
      <w:rFonts w:ascii="Cambria" w:hAnsi="Cambria" w:eastAsia="宋体" w:cs="Times New Roman"/>
      <w:b/>
      <w:bCs/>
      <w:sz w:val="32"/>
      <w:szCs w:val="32"/>
    </w:rPr>
  </w:style>
  <w:style w:type="paragraph" w:styleId="5">
    <w:name w:val="heading 3"/>
    <w:basedOn w:val="1"/>
    <w:next w:val="1"/>
    <w:link w:val="23"/>
    <w:qFormat/>
    <w:uiPriority w:val="0"/>
    <w:pPr>
      <w:keepNext/>
      <w:keepLines/>
      <w:spacing w:before="260" w:after="260" w:line="416" w:lineRule="auto"/>
      <w:outlineLvl w:val="2"/>
    </w:pPr>
    <w:rPr>
      <w:rFonts w:ascii="Times New Roman" w:hAnsi="Times New Roman" w:eastAsia="宋体" w:cs="Times New Roman"/>
      <w:b/>
      <w:bCs/>
      <w:sz w:val="32"/>
      <w:szCs w:val="32"/>
    </w:rPr>
  </w:style>
  <w:style w:type="paragraph" w:styleId="6">
    <w:name w:val="heading 4"/>
    <w:basedOn w:val="1"/>
    <w:next w:val="1"/>
    <w:link w:val="32"/>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link w:val="33"/>
    <w:semiHidden/>
    <w:unhideWhenUsed/>
    <w:qFormat/>
    <w:uiPriority w:val="9"/>
    <w:pPr>
      <w:keepNext/>
      <w:keepLines/>
      <w:spacing w:before="280" w:after="290" w:line="376" w:lineRule="auto"/>
      <w:outlineLvl w:val="4"/>
    </w:pPr>
    <w:rPr>
      <w:b/>
      <w:bCs/>
      <w:sz w:val="28"/>
      <w:szCs w:val="28"/>
    </w:rPr>
  </w:style>
  <w:style w:type="character" w:default="1" w:styleId="16">
    <w:name w:val="Default Paragraph Font"/>
    <w:semiHidden/>
    <w:unhideWhenUsed/>
    <w:qFormat/>
    <w:uiPriority w:val="1"/>
  </w:style>
  <w:style w:type="table" w:default="1" w:styleId="14">
    <w:name w:val="Normal Table"/>
    <w:semiHidden/>
    <w:unhideWhenUsed/>
    <w:uiPriority w:val="99"/>
    <w:tblPr>
      <w:tblCellMar>
        <w:top w:w="0" w:type="dxa"/>
        <w:left w:w="108" w:type="dxa"/>
        <w:bottom w:w="0" w:type="dxa"/>
        <w:right w:w="108" w:type="dxa"/>
      </w:tblCellMar>
    </w:tblPr>
  </w:style>
  <w:style w:type="paragraph" w:styleId="2">
    <w:name w:val="Title"/>
    <w:basedOn w:val="1"/>
    <w:qFormat/>
    <w:uiPriority w:val="10"/>
    <w:pPr>
      <w:spacing w:before="240" w:after="60"/>
      <w:jc w:val="center"/>
      <w:outlineLvl w:val="0"/>
    </w:pPr>
    <w:rPr>
      <w:rFonts w:ascii="Arial" w:hAnsi="Arial"/>
      <w:b/>
      <w:sz w:val="32"/>
    </w:rPr>
  </w:style>
  <w:style w:type="paragraph" w:styleId="8">
    <w:name w:val="Body Text"/>
    <w:basedOn w:val="1"/>
    <w:next w:val="1"/>
    <w:link w:val="20"/>
    <w:qFormat/>
    <w:uiPriority w:val="99"/>
    <w:pPr>
      <w:spacing w:after="120"/>
    </w:pPr>
  </w:style>
  <w:style w:type="paragraph" w:styleId="9">
    <w:name w:val="Balloon Text"/>
    <w:basedOn w:val="1"/>
    <w:link w:val="24"/>
    <w:semiHidden/>
    <w:unhideWhenUsed/>
    <w:qFormat/>
    <w:uiPriority w:val="99"/>
    <w:rPr>
      <w:sz w:val="18"/>
      <w:szCs w:val="18"/>
    </w:rPr>
  </w:style>
  <w:style w:type="paragraph" w:styleId="10">
    <w:name w:val="footer"/>
    <w:basedOn w:val="1"/>
    <w:link w:val="25"/>
    <w:unhideWhenUsed/>
    <w:qFormat/>
    <w:uiPriority w:val="99"/>
    <w:pPr>
      <w:tabs>
        <w:tab w:val="center" w:pos="4153"/>
        <w:tab w:val="right" w:pos="8306"/>
      </w:tabs>
      <w:snapToGrid w:val="0"/>
      <w:jc w:val="left"/>
    </w:pPr>
    <w:rPr>
      <w:sz w:val="18"/>
      <w:szCs w:val="18"/>
    </w:rPr>
  </w:style>
  <w:style w:type="paragraph" w:styleId="11">
    <w:name w:val="header"/>
    <w:basedOn w:val="1"/>
    <w:link w:val="26"/>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3">
    <w:name w:val="Body Text First Indent"/>
    <w:basedOn w:val="8"/>
    <w:link w:val="35"/>
    <w:qFormat/>
    <w:uiPriority w:val="0"/>
    <w:pPr>
      <w:spacing w:after="0" w:line="360" w:lineRule="auto"/>
      <w:ind w:firstLine="420"/>
    </w:pPr>
    <w:rPr>
      <w:rFonts w:ascii="宋体" w:hAnsi="宋体" w:eastAsia="仿宋_GB2312"/>
      <w:sz w:val="24"/>
      <w:szCs w:val="20"/>
    </w:rPr>
  </w:style>
  <w:style w:type="table" w:styleId="15">
    <w:name w:val="Table Grid"/>
    <w:basedOn w:val="1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qFormat/>
    <w:uiPriority w:val="22"/>
    <w:rPr>
      <w:b/>
      <w:bCs/>
    </w:rPr>
  </w:style>
  <w:style w:type="character" w:styleId="18">
    <w:name w:val="page number"/>
    <w:basedOn w:val="16"/>
    <w:qFormat/>
    <w:uiPriority w:val="0"/>
  </w:style>
  <w:style w:type="character" w:styleId="19">
    <w:name w:val="Hyperlink"/>
    <w:basedOn w:val="16"/>
    <w:unhideWhenUsed/>
    <w:qFormat/>
    <w:uiPriority w:val="99"/>
    <w:rPr>
      <w:color w:val="0563C1" w:themeColor="hyperlink"/>
      <w:u w:val="single"/>
      <w14:textFill>
        <w14:solidFill>
          <w14:schemeClr w14:val="hlink"/>
        </w14:solidFill>
      </w14:textFill>
    </w:rPr>
  </w:style>
  <w:style w:type="character" w:customStyle="1" w:styleId="20">
    <w:name w:val="正文文本 Char"/>
    <w:link w:val="8"/>
    <w:qFormat/>
    <w:uiPriority w:val="99"/>
    <w:rPr>
      <w:rFonts w:asciiTheme="minorHAnsi" w:hAnsiTheme="minorHAnsi" w:eastAsiaTheme="minorEastAsia" w:cstheme="minorBidi"/>
      <w:kern w:val="2"/>
      <w:sz w:val="21"/>
      <w:szCs w:val="22"/>
    </w:rPr>
  </w:style>
  <w:style w:type="character" w:customStyle="1" w:styleId="21">
    <w:name w:val="标题 1 Char"/>
    <w:basedOn w:val="16"/>
    <w:link w:val="3"/>
    <w:qFormat/>
    <w:uiPriority w:val="9"/>
    <w:rPr>
      <w:rFonts w:ascii="Times New Roman" w:hAnsi="Times New Roman" w:eastAsia="宋体" w:cs="Times New Roman"/>
      <w:b/>
      <w:bCs/>
      <w:kern w:val="44"/>
      <w:sz w:val="44"/>
      <w:szCs w:val="44"/>
    </w:rPr>
  </w:style>
  <w:style w:type="character" w:customStyle="1" w:styleId="22">
    <w:name w:val="标题 2 Char"/>
    <w:basedOn w:val="16"/>
    <w:link w:val="4"/>
    <w:qFormat/>
    <w:uiPriority w:val="0"/>
    <w:rPr>
      <w:rFonts w:ascii="Cambria" w:hAnsi="Cambria" w:eastAsia="宋体" w:cs="Times New Roman"/>
      <w:b/>
      <w:bCs/>
      <w:sz w:val="32"/>
      <w:szCs w:val="32"/>
    </w:rPr>
  </w:style>
  <w:style w:type="character" w:customStyle="1" w:styleId="23">
    <w:name w:val="标题 3 Char"/>
    <w:basedOn w:val="16"/>
    <w:link w:val="5"/>
    <w:qFormat/>
    <w:uiPriority w:val="0"/>
    <w:rPr>
      <w:rFonts w:ascii="Times New Roman" w:hAnsi="Times New Roman" w:eastAsia="宋体" w:cs="Times New Roman"/>
      <w:b/>
      <w:bCs/>
      <w:sz w:val="32"/>
      <w:szCs w:val="32"/>
    </w:rPr>
  </w:style>
  <w:style w:type="character" w:customStyle="1" w:styleId="24">
    <w:name w:val="批注框文本 Char"/>
    <w:basedOn w:val="16"/>
    <w:link w:val="9"/>
    <w:semiHidden/>
    <w:qFormat/>
    <w:uiPriority w:val="99"/>
    <w:rPr>
      <w:sz w:val="18"/>
      <w:szCs w:val="18"/>
    </w:rPr>
  </w:style>
  <w:style w:type="character" w:customStyle="1" w:styleId="25">
    <w:name w:val="页脚 Char"/>
    <w:basedOn w:val="16"/>
    <w:link w:val="10"/>
    <w:qFormat/>
    <w:uiPriority w:val="99"/>
    <w:rPr>
      <w:sz w:val="18"/>
      <w:szCs w:val="18"/>
    </w:rPr>
  </w:style>
  <w:style w:type="character" w:customStyle="1" w:styleId="26">
    <w:name w:val="页眉 Char"/>
    <w:basedOn w:val="16"/>
    <w:link w:val="11"/>
    <w:qFormat/>
    <w:uiPriority w:val="99"/>
    <w:rPr>
      <w:sz w:val="18"/>
      <w:szCs w:val="18"/>
    </w:rPr>
  </w:style>
  <w:style w:type="paragraph" w:styleId="27">
    <w:name w:val="List Paragraph"/>
    <w:basedOn w:val="1"/>
    <w:qFormat/>
    <w:uiPriority w:val="34"/>
    <w:pPr>
      <w:ind w:firstLine="420" w:firstLineChars="200"/>
    </w:pPr>
  </w:style>
  <w:style w:type="paragraph" w:customStyle="1" w:styleId="28">
    <w:name w:val="p16"/>
    <w:qFormat/>
    <w:uiPriority w:val="0"/>
    <w:pPr>
      <w:snapToGrid w:val="0"/>
    </w:pPr>
    <w:rPr>
      <w:rFonts w:ascii="宋体" w:hAnsi="宋体" w:eastAsia="宋体" w:cs="宋体"/>
      <w:sz w:val="24"/>
      <w:szCs w:val="22"/>
      <w:lang w:val="en-US" w:eastAsia="zh-CN" w:bidi="ar-SA"/>
    </w:rPr>
  </w:style>
  <w:style w:type="paragraph" w:customStyle="1" w:styleId="29">
    <w:name w:val="正文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30">
    <w:name w:val="p0"/>
    <w:basedOn w:val="1"/>
    <w:qFormat/>
    <w:uiPriority w:val="0"/>
    <w:pPr>
      <w:widowControl/>
    </w:pPr>
    <w:rPr>
      <w:rFonts w:ascii="Times New Roman" w:hAnsi="Times New Roman" w:eastAsia="宋体" w:cs="Times New Roman"/>
      <w:kern w:val="0"/>
      <w:szCs w:val="21"/>
    </w:rPr>
  </w:style>
  <w:style w:type="paragraph" w:customStyle="1" w:styleId="31">
    <w:name w:val="Blockquote"/>
    <w:basedOn w:val="1"/>
    <w:qFormat/>
    <w:uiPriority w:val="0"/>
    <w:pPr>
      <w:autoSpaceDE w:val="0"/>
      <w:autoSpaceDN w:val="0"/>
      <w:adjustRightInd w:val="0"/>
      <w:spacing w:before="100" w:after="100"/>
      <w:ind w:left="360" w:right="360"/>
      <w:jc w:val="left"/>
    </w:pPr>
    <w:rPr>
      <w:rFonts w:ascii="宋体" w:hAnsi="宋体" w:eastAsia="宋体" w:cs="Times New Roman"/>
      <w:kern w:val="0"/>
      <w:sz w:val="24"/>
      <w:szCs w:val="20"/>
      <w:u w:val="single"/>
    </w:rPr>
  </w:style>
  <w:style w:type="character" w:customStyle="1" w:styleId="32">
    <w:name w:val="标题 4 Char"/>
    <w:basedOn w:val="16"/>
    <w:link w:val="6"/>
    <w:semiHidden/>
    <w:qFormat/>
    <w:uiPriority w:val="9"/>
    <w:rPr>
      <w:rFonts w:asciiTheme="majorHAnsi" w:hAnsiTheme="majorHAnsi" w:eastAsiaTheme="majorEastAsia" w:cstheme="majorBidi"/>
      <w:b/>
      <w:bCs/>
      <w:kern w:val="2"/>
      <w:sz w:val="28"/>
      <w:szCs w:val="28"/>
    </w:rPr>
  </w:style>
  <w:style w:type="character" w:customStyle="1" w:styleId="33">
    <w:name w:val="标题 5 Char"/>
    <w:basedOn w:val="16"/>
    <w:link w:val="7"/>
    <w:semiHidden/>
    <w:qFormat/>
    <w:uiPriority w:val="9"/>
    <w:rPr>
      <w:rFonts w:asciiTheme="minorHAnsi" w:hAnsiTheme="minorHAnsi" w:eastAsiaTheme="minorEastAsia" w:cstheme="minorBidi"/>
      <w:b/>
      <w:bCs/>
      <w:kern w:val="2"/>
      <w:sz w:val="28"/>
      <w:szCs w:val="28"/>
    </w:rPr>
  </w:style>
  <w:style w:type="character" w:customStyle="1" w:styleId="34">
    <w:name w:val="Unresolved Mention"/>
    <w:basedOn w:val="16"/>
    <w:semiHidden/>
    <w:unhideWhenUsed/>
    <w:qFormat/>
    <w:uiPriority w:val="99"/>
    <w:rPr>
      <w:color w:val="605E5C"/>
      <w:shd w:val="clear" w:color="auto" w:fill="E1DFDD"/>
    </w:rPr>
  </w:style>
  <w:style w:type="character" w:customStyle="1" w:styleId="35">
    <w:name w:val="正文首行缩进 Char"/>
    <w:basedOn w:val="20"/>
    <w:link w:val="13"/>
    <w:qFormat/>
    <w:uiPriority w:val="0"/>
    <w:rPr>
      <w:rFonts w:ascii="宋体" w:hAnsi="宋体" w:eastAsia="仿宋_GB2312" w:cstheme="minorBidi"/>
      <w:kern w:val="2"/>
      <w:sz w:val="24"/>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numbering" Target="numbering.xml"/><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D1C873-216E-4FF1-A076-7669DDE341AE}">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61</Pages>
  <Words>10137</Words>
  <Characters>10770</Characters>
  <Lines>200</Lines>
  <Paragraphs>56</Paragraphs>
  <TotalTime>0</TotalTime>
  <ScaleCrop>false</ScaleCrop>
  <LinksUpToDate>false</LinksUpToDate>
  <CharactersWithSpaces>11359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2024-09-12T02:39:00Z</dcterms:created>
  <dc:creator>Windows 用户</dc:creator>
  <cp:lastModifiedBy>刘义鑫</cp:lastModifiedBy>
  <cp:lastPrinted>2020-06-21T07:14:00Z</cp:lastPrinted>
  <dcterms:modified xsi:type="dcterms:W3CDTF">2025-04-24T02:20:01Z</dcterms:modified>
  <cp:revision>86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659EE2F34DAF40B297F45BA3DB8ECF0E_13</vt:lpwstr>
  </property>
  <property fmtid="{D5CDD505-2E9C-101B-9397-08002B2CF9AE}" pid="4" name="KSOTemplateDocerSaveRecord">
    <vt:lpwstr>eyJoZGlkIjoiMTYyZjJhN2RhNTZlYmRmOGNjMzY3ZWExZmM2NDgxZWIiLCJ1c2VySWQiOiIxNjcxMTcwMTU1In0=</vt:lpwstr>
  </property>
</Properties>
</file>