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BFF1">
      <w:pPr>
        <w:ind w:firstLine="3240" w:firstLineChars="900"/>
        <w:rPr>
          <w:rFonts w:ascii="方正小标宋_GBK" w:hAnsi="宋体" w:eastAsia="方正小标宋_GBK"/>
          <w:sz w:val="36"/>
          <w:szCs w:val="36"/>
        </w:rPr>
      </w:pPr>
      <w:r>
        <w:rPr>
          <w:rFonts w:hint="eastAsia" w:ascii="方正小标宋_GBK" w:hAnsi="宋体" w:eastAsia="方正小标宋_GBK"/>
          <w:sz w:val="36"/>
          <w:szCs w:val="36"/>
        </w:rPr>
        <w:t>投</w:t>
      </w:r>
      <w:r>
        <w:rPr>
          <w:rFonts w:ascii="方正小标宋_GBK" w:hAnsi="宋体" w:eastAsia="方正小标宋_GBK"/>
          <w:sz w:val="36"/>
          <w:szCs w:val="36"/>
        </w:rPr>
        <w:t>标人</w:t>
      </w:r>
      <w:r>
        <w:rPr>
          <w:rFonts w:hint="eastAsia" w:ascii="方正小标宋_GBK" w:hAnsi="宋体" w:eastAsia="方正小标宋_GBK"/>
          <w:sz w:val="36"/>
          <w:szCs w:val="36"/>
        </w:rPr>
        <w:t>须</w:t>
      </w:r>
      <w:r>
        <w:rPr>
          <w:rFonts w:ascii="方正小标宋_GBK" w:hAnsi="宋体" w:eastAsia="方正小标宋_GBK"/>
          <w:sz w:val="36"/>
          <w:szCs w:val="36"/>
        </w:rPr>
        <w:t>知</w:t>
      </w:r>
    </w:p>
    <w:p w14:paraId="33D11F6C">
      <w:pPr>
        <w:ind w:firstLine="3960" w:firstLineChars="1100"/>
        <w:rPr>
          <w:rFonts w:ascii="方正小标宋_GBK" w:hAnsi="宋体" w:eastAsia="方正小标宋_GBK"/>
          <w:sz w:val="36"/>
          <w:szCs w:val="36"/>
        </w:rPr>
      </w:pPr>
    </w:p>
    <w:p w14:paraId="142D48D6">
      <w:pPr>
        <w:spacing w:line="580" w:lineRule="exact"/>
        <w:rPr>
          <w:rFonts w:ascii="宋体" w:hAnsi="宋体"/>
          <w:b/>
          <w:sz w:val="28"/>
          <w:szCs w:val="28"/>
        </w:rPr>
      </w:pPr>
      <w:r>
        <w:rPr>
          <w:rFonts w:hint="eastAsia" w:ascii="宋体" w:hAnsi="宋体"/>
          <w:b/>
          <w:sz w:val="28"/>
          <w:szCs w:val="28"/>
        </w:rPr>
        <w:t>一、竞争性谈判招标文件</w:t>
      </w:r>
    </w:p>
    <w:p w14:paraId="15005757">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（一）文件由邀请书、投标人须知两部分组成。</w:t>
      </w:r>
    </w:p>
    <w:p w14:paraId="1C159049">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（二）招标人所作的一切有效的书面通知、修改及补充，都是文件不可分割的部分。</w:t>
      </w:r>
    </w:p>
    <w:p w14:paraId="47D824AB">
      <w:pPr>
        <w:spacing w:line="580" w:lineRule="exact"/>
        <w:rPr>
          <w:rFonts w:ascii="宋体" w:hAnsi="宋体"/>
          <w:b/>
          <w:sz w:val="28"/>
          <w:szCs w:val="28"/>
        </w:rPr>
      </w:pPr>
      <w:r>
        <w:rPr>
          <w:rFonts w:hint="eastAsia" w:ascii="宋体" w:hAnsi="宋体"/>
          <w:b/>
          <w:sz w:val="28"/>
          <w:szCs w:val="28"/>
        </w:rPr>
        <w:t>二、项目基本情况</w:t>
      </w:r>
    </w:p>
    <w:p w14:paraId="46F71330">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w:t>
      </w:r>
      <w:r>
        <w:rPr>
          <w:rFonts w:ascii="方正仿宋_GBK" w:hAnsi="宋体" w:eastAsia="方正仿宋_GBK"/>
          <w:color w:val="000000"/>
          <w:sz w:val="32"/>
          <w:szCs w:val="32"/>
        </w:rPr>
        <w:t>项目名称：</w:t>
      </w:r>
      <w:r>
        <w:rPr>
          <w:rFonts w:hint="eastAsia" w:ascii="方正仿宋_GBK" w:hAnsi="宋体" w:eastAsia="方正仿宋_GBK"/>
          <w:color w:val="000000"/>
          <w:sz w:val="32"/>
          <w:szCs w:val="32"/>
        </w:rPr>
        <w:t>重庆枢纽港.九龙新城康养项目。</w:t>
      </w:r>
    </w:p>
    <w:p w14:paraId="61D66E0B">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2、招标人：</w:t>
      </w:r>
      <w:r>
        <w:rPr>
          <w:rFonts w:hint="eastAsia" w:ascii="方正仿宋_GBK" w:hAnsi="宋体" w:eastAsia="方正仿宋_GBK"/>
          <w:sz w:val="32"/>
          <w:szCs w:val="32"/>
        </w:rPr>
        <w:t>重庆九龙现代产业发展集团有限公司。</w:t>
      </w:r>
    </w:p>
    <w:p w14:paraId="633C0570">
      <w:pPr>
        <w:spacing w:line="580" w:lineRule="exact"/>
        <w:ind w:firstLine="640" w:firstLineChars="200"/>
        <w:rPr>
          <w:rFonts w:ascii="方正仿宋_GBK" w:hAnsi="宋体" w:eastAsia="方正仿宋_GBK"/>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、项目</w:t>
      </w:r>
      <w:r>
        <w:rPr>
          <w:rFonts w:ascii="方正仿宋_GBK" w:hAnsi="宋体" w:eastAsia="方正仿宋_GBK"/>
          <w:color w:val="000000"/>
          <w:sz w:val="32"/>
          <w:szCs w:val="32"/>
        </w:rPr>
        <w:t>概况：</w:t>
      </w:r>
      <w:r>
        <w:rPr>
          <w:rFonts w:hint="eastAsia" w:ascii="方正仿宋_GBK" w:hAnsi="宋体" w:eastAsia="方正仿宋_GBK"/>
          <w:sz w:val="32"/>
          <w:szCs w:val="32"/>
        </w:rPr>
        <w:t>该项目改造总建</w:t>
      </w:r>
      <w:bookmarkStart w:id="7" w:name="_GoBack"/>
      <w:bookmarkEnd w:id="7"/>
      <w:r>
        <w:rPr>
          <w:rFonts w:hint="eastAsia" w:ascii="方正仿宋_GBK" w:hAnsi="宋体" w:eastAsia="方正仿宋_GBK"/>
          <w:sz w:val="32"/>
          <w:szCs w:val="32"/>
        </w:rPr>
        <w:t>筑面积约</w:t>
      </w:r>
      <w:r>
        <w:rPr>
          <w:rFonts w:ascii="方正仿宋_GBK" w:hAnsi="宋体" w:eastAsia="方正仿宋_GBK"/>
          <w:sz w:val="32"/>
          <w:szCs w:val="32"/>
        </w:rPr>
        <w:t>3.5</w:t>
      </w:r>
      <w:r>
        <w:rPr>
          <w:rFonts w:hint="eastAsia" w:ascii="方正仿宋_GBK" w:hAnsi="宋体" w:eastAsia="方正仿宋_GBK"/>
          <w:sz w:val="32"/>
          <w:szCs w:val="32"/>
        </w:rPr>
        <w:t>万平方米，设置床位2</w:t>
      </w:r>
      <w:r>
        <w:rPr>
          <w:rFonts w:ascii="方正仿宋_GBK" w:hAnsi="宋体" w:eastAsia="方正仿宋_GBK"/>
          <w:sz w:val="32"/>
          <w:szCs w:val="32"/>
        </w:rPr>
        <w:t>30张，</w:t>
      </w:r>
      <w:r>
        <w:rPr>
          <w:rFonts w:hint="eastAsia" w:ascii="方正仿宋_GBK" w:hAnsi="宋体" w:eastAsia="方正仿宋_GBK"/>
          <w:sz w:val="32"/>
          <w:szCs w:val="32"/>
        </w:rPr>
        <w:t>包括</w:t>
      </w:r>
      <w:r>
        <w:rPr>
          <w:rFonts w:ascii="方正仿宋_GBK" w:hAnsi="宋体" w:eastAsia="方正仿宋_GBK"/>
          <w:sz w:val="32"/>
          <w:szCs w:val="32"/>
        </w:rPr>
        <w:t>：</w:t>
      </w:r>
      <w:r>
        <w:rPr>
          <w:rFonts w:hint="eastAsia" w:ascii="方正仿宋_GBK" w:hAnsi="宋体" w:eastAsia="方正仿宋_GBK"/>
          <w:sz w:val="32"/>
          <w:szCs w:val="32"/>
        </w:rPr>
        <w:t>西彭</w:t>
      </w:r>
      <w:r>
        <w:rPr>
          <w:rFonts w:ascii="方正仿宋_GBK" w:hAnsi="宋体" w:eastAsia="方正仿宋_GBK"/>
          <w:sz w:val="32"/>
          <w:szCs w:val="32"/>
        </w:rPr>
        <w:t>电子产业园内</w:t>
      </w:r>
      <w:r>
        <w:rPr>
          <w:rFonts w:hint="eastAsia" w:ascii="方正仿宋_GBK" w:hAnsi="宋体" w:eastAsia="方正仿宋_GBK"/>
          <w:sz w:val="32"/>
          <w:szCs w:val="32"/>
        </w:rPr>
        <w:t>工业</w:t>
      </w:r>
      <w:r>
        <w:rPr>
          <w:rFonts w:ascii="方正仿宋_GBK" w:hAnsi="宋体" w:eastAsia="方正仿宋_GBK"/>
          <w:sz w:val="32"/>
          <w:szCs w:val="32"/>
        </w:rPr>
        <w:t>厂房</w:t>
      </w:r>
      <w:r>
        <w:rPr>
          <w:rFonts w:hint="eastAsia" w:ascii="方正仿宋_GBK" w:hAnsi="宋体" w:eastAsia="方正仿宋_GBK"/>
          <w:sz w:val="32"/>
          <w:szCs w:val="32"/>
        </w:rPr>
        <w:t>1-5层</w:t>
      </w:r>
      <w:r>
        <w:rPr>
          <w:rFonts w:ascii="方正仿宋_GBK" w:hAnsi="宋体" w:eastAsia="方正仿宋_GBK"/>
          <w:sz w:val="32"/>
          <w:szCs w:val="32"/>
        </w:rPr>
        <w:t>装饰装修改造</w:t>
      </w:r>
      <w:r>
        <w:rPr>
          <w:rFonts w:hint="eastAsia" w:ascii="方正仿宋_GBK" w:hAnsi="宋体" w:eastAsia="方正仿宋_GBK"/>
          <w:sz w:val="32"/>
          <w:szCs w:val="32"/>
        </w:rPr>
        <w:t>为前台咨询</w:t>
      </w:r>
      <w:r>
        <w:rPr>
          <w:rFonts w:ascii="方正仿宋_GBK" w:hAnsi="宋体" w:eastAsia="方正仿宋_GBK"/>
          <w:sz w:val="32"/>
          <w:szCs w:val="32"/>
        </w:rPr>
        <w:t>、</w:t>
      </w:r>
      <w:r>
        <w:rPr>
          <w:rFonts w:hint="eastAsia" w:ascii="方正仿宋_GBK" w:hAnsi="宋体" w:eastAsia="方正仿宋_GBK"/>
          <w:sz w:val="32"/>
          <w:szCs w:val="32"/>
        </w:rPr>
        <w:t>医养</w:t>
      </w:r>
      <w:r>
        <w:rPr>
          <w:rFonts w:ascii="方正仿宋_GBK" w:hAnsi="宋体" w:eastAsia="方正仿宋_GBK"/>
          <w:sz w:val="32"/>
          <w:szCs w:val="32"/>
        </w:rPr>
        <w:t>、医</w:t>
      </w:r>
      <w:r>
        <w:rPr>
          <w:rFonts w:hint="eastAsia" w:ascii="方正仿宋_GBK" w:hAnsi="宋体" w:eastAsia="方正仿宋_GBK"/>
          <w:sz w:val="32"/>
          <w:szCs w:val="32"/>
        </w:rPr>
        <w:t>技、</w:t>
      </w:r>
      <w:r>
        <w:rPr>
          <w:rFonts w:ascii="方正仿宋_GBK" w:hAnsi="宋体" w:eastAsia="方正仿宋_GBK"/>
          <w:sz w:val="32"/>
          <w:szCs w:val="32"/>
        </w:rPr>
        <w:t>行政、后勤等功能分区</w:t>
      </w:r>
      <w:r>
        <w:rPr>
          <w:rFonts w:hint="eastAsia" w:ascii="方正仿宋_GBK" w:hAnsi="宋体" w:eastAsia="方正仿宋_GBK"/>
          <w:sz w:val="32"/>
          <w:szCs w:val="32"/>
        </w:rPr>
        <w:t>及</w:t>
      </w:r>
      <w:r>
        <w:rPr>
          <w:rFonts w:ascii="方正仿宋_GBK" w:hAnsi="宋体" w:eastAsia="方正仿宋_GBK"/>
          <w:sz w:val="32"/>
          <w:szCs w:val="32"/>
        </w:rPr>
        <w:t>配套，食堂、车库装饰改造等。</w:t>
      </w:r>
      <w:r>
        <w:rPr>
          <w:rFonts w:hint="eastAsia" w:ascii="方正仿宋_GBK" w:hAnsi="宋体" w:eastAsia="方正仿宋_GBK"/>
          <w:sz w:val="32"/>
          <w:szCs w:val="32"/>
        </w:rPr>
        <w:t xml:space="preserve">建设内容包括但不限于结构加固及改造、室内装饰装修、外立面改造、安装工程、室外环境、室外综合管网等。 </w:t>
      </w:r>
    </w:p>
    <w:p w14:paraId="772603BC">
      <w:pPr>
        <w:spacing w:line="580" w:lineRule="exact"/>
        <w:ind w:firstLine="562" w:firstLineChars="200"/>
        <w:rPr>
          <w:rFonts w:ascii="宋体" w:hAnsi="宋体"/>
          <w:b/>
          <w:sz w:val="28"/>
          <w:szCs w:val="28"/>
        </w:rPr>
      </w:pPr>
      <w:r>
        <w:rPr>
          <w:rFonts w:hint="eastAsia" w:ascii="宋体" w:hAnsi="宋体"/>
          <w:b/>
          <w:sz w:val="28"/>
          <w:szCs w:val="28"/>
        </w:rPr>
        <w:t>三</w:t>
      </w:r>
      <w:r>
        <w:rPr>
          <w:rFonts w:ascii="宋体" w:hAnsi="宋体"/>
          <w:b/>
          <w:sz w:val="28"/>
          <w:szCs w:val="28"/>
        </w:rPr>
        <w:t>、</w:t>
      </w:r>
      <w:r>
        <w:rPr>
          <w:rFonts w:hint="eastAsia" w:ascii="宋体" w:hAnsi="宋体"/>
          <w:b/>
          <w:sz w:val="28"/>
          <w:szCs w:val="28"/>
        </w:rPr>
        <w:t>比选范围</w:t>
      </w:r>
    </w:p>
    <w:p w14:paraId="2B14D3C1">
      <w:pPr>
        <w:spacing w:line="580" w:lineRule="exact"/>
        <w:ind w:firstLine="320" w:firstLineChars="100"/>
        <w:rPr>
          <w:rFonts w:ascii="方正仿宋_GBK" w:hAnsi="宋体" w:eastAsia="方正仿宋_GBK"/>
          <w:sz w:val="32"/>
          <w:szCs w:val="32"/>
        </w:rPr>
      </w:pPr>
      <w:r>
        <w:rPr>
          <w:rFonts w:hint="eastAsia" w:ascii="方正仿宋_GBK" w:hAnsi="宋体" w:eastAsia="方正仿宋_GBK"/>
          <w:sz w:val="32"/>
          <w:szCs w:val="32"/>
        </w:rPr>
        <w:t>（一）设计阶段：包含但不限于完成概念性方案设计，效果图</w:t>
      </w:r>
      <w:r>
        <w:rPr>
          <w:rFonts w:ascii="方正仿宋_GBK" w:hAnsi="宋体" w:eastAsia="方正仿宋_GBK"/>
          <w:sz w:val="32"/>
          <w:szCs w:val="32"/>
        </w:rPr>
        <w:t>设计（</w:t>
      </w:r>
      <w:r>
        <w:rPr>
          <w:rFonts w:hint="eastAsia" w:ascii="方正仿宋_GBK" w:hAnsi="宋体" w:eastAsia="方正仿宋_GBK"/>
          <w:sz w:val="32"/>
          <w:szCs w:val="32"/>
        </w:rPr>
        <w:t>包含室内外</w:t>
      </w:r>
      <w:r>
        <w:rPr>
          <w:rFonts w:ascii="方正仿宋_GBK" w:hAnsi="宋体" w:eastAsia="方正仿宋_GBK"/>
          <w:sz w:val="32"/>
          <w:szCs w:val="32"/>
        </w:rPr>
        <w:t>平面</w:t>
      </w:r>
      <w:r>
        <w:rPr>
          <w:rFonts w:hint="eastAsia" w:ascii="方正仿宋_GBK" w:hAnsi="宋体" w:eastAsia="方正仿宋_GBK"/>
          <w:sz w:val="32"/>
          <w:szCs w:val="32"/>
        </w:rPr>
        <w:t>、立面</w:t>
      </w:r>
      <w:r>
        <w:rPr>
          <w:rFonts w:ascii="方正仿宋_GBK" w:hAnsi="宋体" w:eastAsia="方正仿宋_GBK"/>
          <w:sz w:val="32"/>
          <w:szCs w:val="32"/>
        </w:rPr>
        <w:t>、侧面及鸟瞰图）</w:t>
      </w:r>
      <w:r>
        <w:rPr>
          <w:rFonts w:hint="eastAsia" w:ascii="方正仿宋_GBK" w:hAnsi="宋体" w:eastAsia="方正仿宋_GBK"/>
          <w:sz w:val="32"/>
          <w:szCs w:val="32"/>
        </w:rPr>
        <w:t>、</w:t>
      </w:r>
      <w:r>
        <w:rPr>
          <w:rFonts w:ascii="方正仿宋_GBK" w:hAnsi="宋体" w:eastAsia="方正仿宋_GBK"/>
          <w:sz w:val="32"/>
          <w:szCs w:val="32"/>
        </w:rPr>
        <w:t>方案设计</w:t>
      </w:r>
      <w:r>
        <w:rPr>
          <w:rFonts w:hint="eastAsia" w:ascii="方正仿宋_GBK" w:hAnsi="宋体" w:eastAsia="方正仿宋_GBK"/>
          <w:sz w:val="32"/>
          <w:szCs w:val="32"/>
        </w:rPr>
        <w:t xml:space="preserve">达到规划及设计报建深度；完成投资估算编制、初步设计（含概算编制）；施工图设计；对施工招标、施工阶段、竣工验收阶段、缺陷责任期阶段等提供全过程、全部设计服务。 </w:t>
      </w:r>
    </w:p>
    <w:p w14:paraId="786617B6">
      <w:pPr>
        <w:spacing w:line="580" w:lineRule="exact"/>
        <w:ind w:firstLine="480" w:firstLineChars="150"/>
        <w:rPr>
          <w:rFonts w:ascii="方正仿宋_GBK" w:hAnsi="宋体" w:eastAsia="方正仿宋_GBK"/>
          <w:b w:val="0"/>
          <w:bCs w:val="0"/>
          <w:sz w:val="32"/>
          <w:szCs w:val="32"/>
          <w:highlight w:val="none"/>
        </w:rPr>
      </w:pPr>
      <w:r>
        <w:rPr>
          <w:rFonts w:hint="eastAsia" w:ascii="方正仿宋_GBK" w:hAnsi="宋体" w:eastAsia="方正仿宋_GBK"/>
          <w:sz w:val="32"/>
          <w:szCs w:val="32"/>
        </w:rPr>
        <w:t>（二）设计内容：</w:t>
      </w:r>
      <w:r>
        <w:rPr>
          <w:rFonts w:ascii="方正仿宋_GBK" w:hAnsi="宋体" w:eastAsia="方正仿宋_GBK"/>
          <w:sz w:val="32"/>
          <w:szCs w:val="32"/>
          <w:highlight w:val="none"/>
        </w:rPr>
        <w:t xml:space="preserve"> </w:t>
      </w:r>
      <w:r>
        <w:rPr>
          <w:rFonts w:hint="eastAsia" w:ascii="方正仿宋_GBK" w:hAnsi="宋体" w:eastAsia="方正仿宋_GBK"/>
          <w:sz w:val="32"/>
          <w:szCs w:val="32"/>
          <w:highlight w:val="none"/>
        </w:rPr>
        <w:t>包括但不限于门卫、前台咨询</w:t>
      </w:r>
      <w:r>
        <w:rPr>
          <w:rFonts w:ascii="方正仿宋_GBK" w:hAnsi="宋体" w:eastAsia="方正仿宋_GBK"/>
          <w:sz w:val="32"/>
          <w:szCs w:val="32"/>
          <w:highlight w:val="none"/>
        </w:rPr>
        <w:t>、</w:t>
      </w:r>
      <w:r>
        <w:rPr>
          <w:rFonts w:hint="eastAsia" w:ascii="方正仿宋_GBK" w:hAnsi="宋体" w:eastAsia="方正仿宋_GBK"/>
          <w:sz w:val="32"/>
          <w:szCs w:val="32"/>
          <w:highlight w:val="none"/>
        </w:rPr>
        <w:t>医养</w:t>
      </w:r>
      <w:r>
        <w:rPr>
          <w:rFonts w:ascii="方正仿宋_GBK" w:hAnsi="宋体" w:eastAsia="方正仿宋_GBK"/>
          <w:sz w:val="32"/>
          <w:szCs w:val="32"/>
          <w:highlight w:val="none"/>
        </w:rPr>
        <w:t>、医</w:t>
      </w:r>
      <w:r>
        <w:rPr>
          <w:rFonts w:hint="eastAsia" w:ascii="方正仿宋_GBK" w:hAnsi="宋体" w:eastAsia="方正仿宋_GBK"/>
          <w:sz w:val="32"/>
          <w:szCs w:val="32"/>
          <w:highlight w:val="none"/>
        </w:rPr>
        <w:t>技、</w:t>
      </w:r>
      <w:r>
        <w:rPr>
          <w:rFonts w:ascii="方正仿宋_GBK" w:hAnsi="宋体" w:eastAsia="方正仿宋_GBK"/>
          <w:sz w:val="32"/>
          <w:szCs w:val="32"/>
          <w:highlight w:val="none"/>
        </w:rPr>
        <w:t>行政、后勤</w:t>
      </w:r>
      <w:r>
        <w:rPr>
          <w:rFonts w:hint="eastAsia" w:ascii="方正仿宋_GBK" w:hAnsi="宋体" w:eastAsia="方正仿宋_GBK"/>
          <w:sz w:val="32"/>
          <w:szCs w:val="32"/>
          <w:highlight w:val="none"/>
        </w:rPr>
        <w:t>等</w:t>
      </w:r>
      <w:r>
        <w:rPr>
          <w:rFonts w:ascii="方正仿宋_GBK" w:hAnsi="宋体" w:eastAsia="方正仿宋_GBK"/>
          <w:sz w:val="32"/>
          <w:szCs w:val="32"/>
          <w:highlight w:val="none"/>
        </w:rPr>
        <w:t>功能区域</w:t>
      </w:r>
      <w:r>
        <w:rPr>
          <w:rFonts w:hint="eastAsia" w:ascii="方正仿宋_GBK" w:hAnsi="宋体" w:eastAsia="方正仿宋_GBK"/>
          <w:sz w:val="32"/>
          <w:szCs w:val="32"/>
          <w:highlight w:val="none"/>
        </w:rPr>
        <w:t>及</w:t>
      </w:r>
      <w:r>
        <w:rPr>
          <w:rFonts w:ascii="方正仿宋_GBK" w:hAnsi="宋体" w:eastAsia="方正仿宋_GBK"/>
          <w:sz w:val="32"/>
          <w:szCs w:val="32"/>
          <w:highlight w:val="none"/>
        </w:rPr>
        <w:t>配套</w:t>
      </w:r>
      <w:r>
        <w:rPr>
          <w:rFonts w:hint="eastAsia" w:ascii="方正仿宋_GBK" w:hAnsi="宋体" w:eastAsia="方正仿宋_GBK"/>
          <w:sz w:val="32"/>
          <w:szCs w:val="32"/>
          <w:highlight w:val="none"/>
        </w:rPr>
        <w:t>设计内容的总图、建筑、外立面、装饰</w:t>
      </w:r>
      <w:r>
        <w:rPr>
          <w:rFonts w:ascii="方正仿宋_GBK" w:hAnsi="宋体" w:eastAsia="方正仿宋_GBK"/>
          <w:sz w:val="32"/>
          <w:szCs w:val="32"/>
          <w:highlight w:val="none"/>
        </w:rPr>
        <w:t>装修、</w:t>
      </w:r>
      <w:r>
        <w:rPr>
          <w:rFonts w:hint="eastAsia" w:ascii="方正仿宋_GBK" w:hAnsi="宋体" w:eastAsia="方正仿宋_GBK"/>
          <w:sz w:val="32"/>
          <w:szCs w:val="32"/>
          <w:highlight w:val="none"/>
        </w:rPr>
        <w:t>结构（含加固）、电气（强电、弱电）设计、给排水设计、消防设计、暖通设计、室外环境等，生化池土建结构（如有）、门窗、栏杆等建筑部品及部件专项设计等，幕墙专项设计、钢结构专项设计、海绵城市设计、建筑节能环保</w:t>
      </w:r>
      <w:r>
        <w:rPr>
          <w:rFonts w:hint="eastAsia" w:ascii="方正仿宋_GBK" w:hAnsi="宋体" w:eastAsia="方正仿宋_GBK"/>
          <w:b w:val="0"/>
          <w:bCs w:val="0"/>
          <w:sz w:val="32"/>
          <w:szCs w:val="32"/>
          <w:highlight w:val="none"/>
        </w:rPr>
        <w:t>与绿色建筑设计、B</w:t>
      </w:r>
      <w:r>
        <w:rPr>
          <w:rFonts w:ascii="方正仿宋_GBK" w:hAnsi="宋体" w:eastAsia="方正仿宋_GBK"/>
          <w:b w:val="0"/>
          <w:bCs w:val="0"/>
          <w:sz w:val="32"/>
          <w:szCs w:val="32"/>
          <w:highlight w:val="none"/>
        </w:rPr>
        <w:t>IM</w:t>
      </w:r>
      <w:r>
        <w:rPr>
          <w:rFonts w:hint="eastAsia" w:ascii="方正仿宋_GBK" w:hAnsi="宋体" w:eastAsia="方正仿宋_GBK"/>
          <w:b w:val="0"/>
          <w:bCs w:val="0"/>
          <w:sz w:val="32"/>
          <w:szCs w:val="32"/>
          <w:highlight w:val="none"/>
        </w:rPr>
        <w:t>装配式建筑设计等以及包括但不限于一层</w:t>
      </w:r>
      <w:r>
        <w:rPr>
          <w:rFonts w:eastAsia="方正仿宋_GBK"/>
          <w:b w:val="0"/>
          <w:bCs w:val="0"/>
          <w:sz w:val="32"/>
          <w:szCs w:val="32"/>
          <w:highlight w:val="none"/>
        </w:rPr>
        <w:t>门急诊</w:t>
      </w:r>
      <w:r>
        <w:rPr>
          <w:rFonts w:hint="eastAsia" w:eastAsia="方正仿宋_GBK"/>
          <w:b w:val="0"/>
          <w:bCs w:val="0"/>
          <w:sz w:val="32"/>
          <w:szCs w:val="32"/>
          <w:highlight w:val="none"/>
        </w:rPr>
        <w:t>区</w:t>
      </w:r>
      <w:r>
        <w:rPr>
          <w:rFonts w:eastAsia="方正仿宋_GBK"/>
          <w:b w:val="0"/>
          <w:bCs w:val="0"/>
          <w:sz w:val="32"/>
          <w:szCs w:val="32"/>
          <w:highlight w:val="none"/>
        </w:rPr>
        <w:t>、二层门诊区、三至</w:t>
      </w:r>
      <w:r>
        <w:rPr>
          <w:rFonts w:hint="eastAsia" w:eastAsia="方正仿宋_GBK"/>
          <w:b w:val="0"/>
          <w:bCs w:val="0"/>
          <w:sz w:val="32"/>
          <w:szCs w:val="32"/>
          <w:highlight w:val="none"/>
        </w:rPr>
        <w:t>五</w:t>
      </w:r>
      <w:r>
        <w:rPr>
          <w:rFonts w:eastAsia="方正仿宋_GBK"/>
          <w:b w:val="0"/>
          <w:bCs w:val="0"/>
          <w:sz w:val="32"/>
          <w:szCs w:val="32"/>
          <w:highlight w:val="none"/>
        </w:rPr>
        <w:t>层住院病区</w:t>
      </w:r>
      <w:r>
        <w:rPr>
          <w:rFonts w:hint="eastAsia" w:eastAsia="方正仿宋_GBK"/>
          <w:b w:val="0"/>
          <w:bCs w:val="0"/>
          <w:sz w:val="32"/>
          <w:szCs w:val="32"/>
          <w:highlight w:val="none"/>
        </w:rPr>
        <w:t>、负一楼及附楼功能设计、人流导向设计、医疗专项设计、医院流程设计（包括但不限于123级医疗工艺含放射、icu等）等满足医院及康养开诊营业所需的所有设计内容。（详见功能分区及需求详见附件）</w:t>
      </w:r>
      <w:r>
        <w:rPr>
          <w:rFonts w:hint="eastAsia" w:ascii="方正仿宋_GBK" w:hAnsi="宋体" w:eastAsia="方正仿宋_GBK"/>
          <w:b w:val="0"/>
          <w:bCs w:val="0"/>
          <w:sz w:val="32"/>
          <w:szCs w:val="32"/>
          <w:highlight w:val="none"/>
        </w:rPr>
        <w:t xml:space="preserve"> </w:t>
      </w:r>
    </w:p>
    <w:p w14:paraId="7FA88FEF">
      <w:pPr>
        <w:spacing w:line="580" w:lineRule="exact"/>
        <w:ind w:firstLine="640" w:firstLineChars="200"/>
        <w:rPr>
          <w:rFonts w:ascii="方正仿宋_GBK" w:hAnsi="宋体" w:eastAsia="方正仿宋_GBK"/>
          <w:b w:val="0"/>
          <w:bCs w:val="0"/>
          <w:sz w:val="32"/>
          <w:szCs w:val="32"/>
          <w:highlight w:val="none"/>
        </w:rPr>
      </w:pPr>
      <w:r>
        <w:rPr>
          <w:rFonts w:hint="eastAsia" w:ascii="方正仿宋_GBK" w:hAnsi="宋体" w:eastAsia="方正仿宋_GBK"/>
          <w:b w:val="0"/>
          <w:bCs w:val="0"/>
          <w:sz w:val="32"/>
          <w:szCs w:val="32"/>
          <w:highlight w:val="none"/>
        </w:rPr>
        <w:t>（三）二次设计内容：包含但不限于完成门窗、栏杆（如有）等二次深化设计，配合完成装配式构件、抗震支架、生化池工艺设备（如有）、厨房、车库等二次深化设计以及一层</w:t>
      </w:r>
      <w:r>
        <w:rPr>
          <w:rFonts w:eastAsia="方正仿宋_GBK"/>
          <w:b w:val="0"/>
          <w:bCs w:val="0"/>
          <w:sz w:val="32"/>
          <w:szCs w:val="32"/>
          <w:highlight w:val="none"/>
        </w:rPr>
        <w:t>门急诊</w:t>
      </w:r>
      <w:r>
        <w:rPr>
          <w:rFonts w:hint="eastAsia" w:eastAsia="方正仿宋_GBK"/>
          <w:b w:val="0"/>
          <w:bCs w:val="0"/>
          <w:sz w:val="32"/>
          <w:szCs w:val="32"/>
          <w:highlight w:val="none"/>
        </w:rPr>
        <w:t>区</w:t>
      </w:r>
      <w:r>
        <w:rPr>
          <w:rFonts w:eastAsia="方正仿宋_GBK"/>
          <w:b w:val="0"/>
          <w:bCs w:val="0"/>
          <w:sz w:val="32"/>
          <w:szCs w:val="32"/>
          <w:highlight w:val="none"/>
        </w:rPr>
        <w:t>、二层门诊区、三至</w:t>
      </w:r>
      <w:r>
        <w:rPr>
          <w:rFonts w:hint="eastAsia" w:eastAsia="方正仿宋_GBK"/>
          <w:b w:val="0"/>
          <w:bCs w:val="0"/>
          <w:sz w:val="32"/>
          <w:szCs w:val="32"/>
          <w:highlight w:val="none"/>
        </w:rPr>
        <w:t>五</w:t>
      </w:r>
      <w:r>
        <w:rPr>
          <w:rFonts w:eastAsia="方正仿宋_GBK"/>
          <w:b w:val="0"/>
          <w:bCs w:val="0"/>
          <w:sz w:val="32"/>
          <w:szCs w:val="32"/>
          <w:highlight w:val="none"/>
        </w:rPr>
        <w:t>层住院病区</w:t>
      </w:r>
      <w:r>
        <w:rPr>
          <w:rFonts w:hint="eastAsia" w:eastAsia="方正仿宋_GBK"/>
          <w:b w:val="0"/>
          <w:bCs w:val="0"/>
          <w:sz w:val="32"/>
          <w:szCs w:val="32"/>
          <w:highlight w:val="none"/>
        </w:rPr>
        <w:t>、负一楼及附楼功能设计、人流导向设计、医疗专项设计、医院流程设计（包括但不限于123级医疗工艺含放射、icu等）等满足医院及康养开诊营业所需的二次及多次深化设计内容</w:t>
      </w:r>
      <w:r>
        <w:rPr>
          <w:rFonts w:hint="eastAsia" w:ascii="方正仿宋_GBK" w:hAnsi="宋体" w:eastAsia="方正仿宋_GBK"/>
          <w:b w:val="0"/>
          <w:bCs w:val="0"/>
          <w:sz w:val="32"/>
          <w:szCs w:val="32"/>
          <w:highlight w:val="none"/>
        </w:rPr>
        <w:t xml:space="preserve">。 </w:t>
      </w:r>
    </w:p>
    <w:p w14:paraId="2CCE8DF9">
      <w:pPr>
        <w:spacing w:line="580" w:lineRule="exact"/>
        <w:ind w:firstLine="640" w:firstLineChars="200"/>
        <w:rPr>
          <w:rFonts w:ascii="方正仿宋_GBK" w:hAnsi="宋体" w:eastAsia="方正仿宋_GBK"/>
          <w:b w:val="0"/>
          <w:bCs w:val="0"/>
          <w:sz w:val="32"/>
          <w:szCs w:val="32"/>
          <w:highlight w:val="none"/>
        </w:rPr>
      </w:pPr>
      <w:r>
        <w:rPr>
          <w:rFonts w:hint="eastAsia" w:ascii="方正仿宋_GBK" w:hAnsi="宋体" w:eastAsia="方正仿宋_GBK"/>
          <w:b w:val="0"/>
          <w:bCs w:val="0"/>
          <w:sz w:val="32"/>
          <w:szCs w:val="32"/>
          <w:highlight w:val="none"/>
        </w:rPr>
        <w:t>（四）设计人的设计成果必须经过招标人及入驻单位签章确认。</w:t>
      </w:r>
    </w:p>
    <w:p w14:paraId="4AB950A3">
      <w:pPr>
        <w:spacing w:line="58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（五）设计服务期限：2</w:t>
      </w:r>
      <w:r>
        <w:rPr>
          <w:rFonts w:ascii="方正仿宋_GBK" w:hAnsi="宋体" w:eastAsia="方正仿宋_GBK"/>
          <w:sz w:val="32"/>
          <w:szCs w:val="32"/>
          <w:highlight w:val="none"/>
        </w:rPr>
        <w:t>025年3月22日</w:t>
      </w:r>
      <w:r>
        <w:rPr>
          <w:rFonts w:hint="eastAsia" w:ascii="方正仿宋_GBK" w:hAnsi="宋体" w:eastAsia="方正仿宋_GBK"/>
          <w:sz w:val="32"/>
          <w:szCs w:val="32"/>
          <w:highlight w:val="none"/>
        </w:rPr>
        <w:t>前完成方案设计工作，并提交相关行政行业主管部门及专家审核；2</w:t>
      </w:r>
      <w:r>
        <w:rPr>
          <w:rFonts w:ascii="方正仿宋_GBK" w:hAnsi="宋体" w:eastAsia="方正仿宋_GBK"/>
          <w:sz w:val="32"/>
          <w:szCs w:val="32"/>
          <w:highlight w:val="none"/>
        </w:rPr>
        <w:t>025年4月5日前完成施工图初稿；</w:t>
      </w:r>
      <w:r>
        <w:rPr>
          <w:rFonts w:hint="eastAsia" w:ascii="方正仿宋_GBK" w:hAnsi="宋体" w:eastAsia="方正仿宋_GBK"/>
          <w:sz w:val="32"/>
          <w:szCs w:val="32"/>
          <w:highlight w:val="none"/>
        </w:rPr>
        <w:t>2</w:t>
      </w:r>
      <w:r>
        <w:rPr>
          <w:rFonts w:ascii="方正仿宋_GBK" w:hAnsi="宋体" w:eastAsia="方正仿宋_GBK"/>
          <w:sz w:val="32"/>
          <w:szCs w:val="32"/>
          <w:highlight w:val="none"/>
        </w:rPr>
        <w:t>025年</w:t>
      </w:r>
      <w:r>
        <w:rPr>
          <w:rFonts w:hint="eastAsia" w:ascii="方正仿宋_GBK" w:hAnsi="宋体" w:eastAsia="方正仿宋_GBK"/>
          <w:sz w:val="32"/>
          <w:szCs w:val="32"/>
          <w:highlight w:val="none"/>
        </w:rPr>
        <w:t>4月8日前完成概算编制达到概算审核要求；2</w:t>
      </w:r>
      <w:r>
        <w:rPr>
          <w:rFonts w:ascii="方正仿宋_GBK" w:hAnsi="宋体" w:eastAsia="方正仿宋_GBK"/>
          <w:sz w:val="32"/>
          <w:szCs w:val="32"/>
          <w:highlight w:val="none"/>
        </w:rPr>
        <w:t>025年</w:t>
      </w:r>
      <w:r>
        <w:rPr>
          <w:rFonts w:hint="eastAsia" w:ascii="方正仿宋_GBK" w:hAnsi="宋体" w:eastAsia="方正仿宋_GBK"/>
          <w:sz w:val="32"/>
          <w:szCs w:val="32"/>
          <w:highlight w:val="none"/>
        </w:rPr>
        <w:t>4月1</w:t>
      </w:r>
      <w:r>
        <w:rPr>
          <w:rFonts w:ascii="方正仿宋_GBK" w:hAnsi="宋体" w:eastAsia="方正仿宋_GBK"/>
          <w:sz w:val="32"/>
          <w:szCs w:val="32"/>
          <w:highlight w:val="none"/>
        </w:rPr>
        <w:t>5日前施工图经过</w:t>
      </w:r>
      <w:r>
        <w:rPr>
          <w:rFonts w:hint="eastAsia" w:ascii="方正仿宋_GBK" w:hAnsi="宋体" w:eastAsia="方正仿宋_GBK"/>
          <w:sz w:val="32"/>
          <w:szCs w:val="32"/>
          <w:highlight w:val="none"/>
        </w:rPr>
        <w:t>相关行政行业主管部门及专家审核完成定稿。</w:t>
      </w:r>
    </w:p>
    <w:p w14:paraId="3A80F38B">
      <w:pPr>
        <w:spacing w:line="580" w:lineRule="exact"/>
        <w:ind w:firstLine="562" w:firstLineChars="200"/>
        <w:rPr>
          <w:rFonts w:ascii="宋体" w:hAnsi="宋体"/>
          <w:b/>
          <w:sz w:val="28"/>
          <w:szCs w:val="28"/>
          <w:highlight w:val="none"/>
        </w:rPr>
      </w:pPr>
      <w:r>
        <w:rPr>
          <w:rFonts w:hint="eastAsia" w:ascii="宋体" w:hAnsi="宋体"/>
          <w:b/>
          <w:sz w:val="28"/>
          <w:szCs w:val="28"/>
          <w:highlight w:val="none"/>
        </w:rPr>
        <w:t>四</w:t>
      </w:r>
      <w:r>
        <w:rPr>
          <w:rFonts w:ascii="宋体" w:hAnsi="宋体"/>
          <w:b/>
          <w:sz w:val="28"/>
          <w:szCs w:val="28"/>
          <w:highlight w:val="none"/>
        </w:rPr>
        <w:t>、</w:t>
      </w:r>
      <w:r>
        <w:rPr>
          <w:rFonts w:hint="eastAsia" w:ascii="宋体" w:hAnsi="宋体"/>
          <w:b/>
          <w:sz w:val="28"/>
          <w:szCs w:val="28"/>
          <w:highlight w:val="none"/>
        </w:rPr>
        <w:t>设计</w:t>
      </w:r>
      <w:r>
        <w:rPr>
          <w:rFonts w:ascii="宋体" w:hAnsi="宋体"/>
          <w:b/>
          <w:sz w:val="28"/>
          <w:szCs w:val="28"/>
          <w:highlight w:val="none"/>
        </w:rPr>
        <w:t>成果文件提交标准</w:t>
      </w:r>
    </w:p>
    <w:p w14:paraId="31CC1A86">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投标人在接到招标人通知后开展相关设计工作，未按招标人通知开展设计工作的，招标人不认可投标人的设计工作且不支付相应费用。</w:t>
      </w:r>
    </w:p>
    <w:p w14:paraId="6382D5A6">
      <w:pPr>
        <w:spacing w:line="580" w:lineRule="exact"/>
        <w:ind w:firstLine="640" w:firstLineChars="200"/>
        <w:rPr>
          <w:rFonts w:ascii="方正仿宋_GBK" w:eastAsia="方正仿宋_GBK" w:hAnsiTheme="minorHAnsi" w:cstheme="minorBidi"/>
          <w:sz w:val="32"/>
          <w:szCs w:val="32"/>
          <w:highlight w:val="none"/>
        </w:rPr>
      </w:pPr>
      <w:r>
        <w:rPr>
          <w:rFonts w:hint="eastAsia" w:ascii="方正仿宋_GBK" w:hAnsi="宋体" w:eastAsia="方正仿宋_GBK"/>
          <w:color w:val="000000"/>
          <w:sz w:val="32"/>
          <w:szCs w:val="32"/>
          <w:highlight w:val="none"/>
        </w:rPr>
        <w:t>各项设计文件</w:t>
      </w:r>
      <w:r>
        <w:rPr>
          <w:rFonts w:ascii="方正仿宋_GBK" w:hAnsi="宋体" w:eastAsia="方正仿宋_GBK"/>
          <w:color w:val="000000"/>
          <w:sz w:val="32"/>
          <w:szCs w:val="32"/>
          <w:highlight w:val="none"/>
        </w:rPr>
        <w:t>、图纸</w:t>
      </w:r>
      <w:r>
        <w:rPr>
          <w:rFonts w:hint="eastAsia" w:ascii="方正仿宋_GBK" w:hAnsi="宋体" w:eastAsia="方正仿宋_GBK"/>
          <w:color w:val="000000"/>
          <w:sz w:val="32"/>
          <w:szCs w:val="32"/>
          <w:highlight w:val="none"/>
        </w:rPr>
        <w:t>应按照国家及重庆市相应现行规范及标准执行并满足招</w:t>
      </w:r>
      <w:r>
        <w:rPr>
          <w:rFonts w:ascii="方正仿宋_GBK" w:hAnsi="宋体" w:eastAsia="方正仿宋_GBK"/>
          <w:color w:val="000000"/>
          <w:sz w:val="32"/>
          <w:szCs w:val="32"/>
          <w:highlight w:val="none"/>
        </w:rPr>
        <w:t>标人</w:t>
      </w:r>
      <w:r>
        <w:rPr>
          <w:rFonts w:hint="eastAsia" w:ascii="方正仿宋_GBK" w:hAnsi="宋体" w:eastAsia="方正仿宋_GBK"/>
          <w:color w:val="000000"/>
          <w:sz w:val="32"/>
          <w:szCs w:val="32"/>
          <w:highlight w:val="none"/>
        </w:rPr>
        <w:t>的</w:t>
      </w:r>
      <w:r>
        <w:rPr>
          <w:rFonts w:ascii="方正仿宋_GBK" w:hAnsi="宋体" w:eastAsia="方正仿宋_GBK"/>
          <w:color w:val="000000"/>
          <w:sz w:val="32"/>
          <w:szCs w:val="32"/>
          <w:highlight w:val="none"/>
        </w:rPr>
        <w:t>上级行政主管部</w:t>
      </w:r>
      <w:r>
        <w:rPr>
          <w:rFonts w:hint="eastAsia" w:ascii="方正仿宋_GBK" w:hAnsi="宋体" w:eastAsia="方正仿宋_GBK"/>
          <w:color w:val="000000"/>
          <w:sz w:val="32"/>
          <w:szCs w:val="32"/>
          <w:highlight w:val="none"/>
        </w:rPr>
        <w:t>门对取得方案设计、</w:t>
      </w:r>
      <w:r>
        <w:rPr>
          <w:rFonts w:ascii="方正仿宋_GBK" w:hAnsi="宋体" w:eastAsia="方正仿宋_GBK"/>
          <w:color w:val="000000"/>
          <w:sz w:val="32"/>
          <w:szCs w:val="32"/>
          <w:highlight w:val="none"/>
        </w:rPr>
        <w:t>初步设计</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施工图设计审批</w:t>
      </w:r>
      <w:r>
        <w:rPr>
          <w:rFonts w:hint="eastAsia" w:ascii="方正仿宋_GBK" w:hAnsi="宋体" w:eastAsia="方正仿宋_GBK"/>
          <w:color w:val="000000"/>
          <w:sz w:val="32"/>
          <w:szCs w:val="32"/>
          <w:highlight w:val="none"/>
        </w:rPr>
        <w:t>的要</w:t>
      </w:r>
      <w:r>
        <w:rPr>
          <w:rFonts w:ascii="方正仿宋_GBK" w:hAnsi="宋体" w:eastAsia="方正仿宋_GBK"/>
          <w:color w:val="000000"/>
          <w:sz w:val="32"/>
          <w:szCs w:val="32"/>
          <w:highlight w:val="none"/>
        </w:rPr>
        <w:t>求</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概算文件应全面反映工程投资</w:t>
      </w:r>
      <w:r>
        <w:rPr>
          <w:rFonts w:hint="eastAsia" w:ascii="方正仿宋_GBK" w:hAnsi="宋体" w:eastAsia="方正仿宋_GBK"/>
          <w:color w:val="000000"/>
          <w:sz w:val="32"/>
          <w:szCs w:val="32"/>
          <w:highlight w:val="none"/>
        </w:rPr>
        <w:t>以</w:t>
      </w:r>
      <w:r>
        <w:rPr>
          <w:rFonts w:ascii="方正仿宋_GBK" w:hAnsi="宋体" w:eastAsia="方正仿宋_GBK"/>
          <w:color w:val="000000"/>
          <w:sz w:val="32"/>
          <w:szCs w:val="32"/>
          <w:highlight w:val="none"/>
        </w:rPr>
        <w:t>及招</w:t>
      </w:r>
      <w:r>
        <w:rPr>
          <w:rFonts w:hint="eastAsia" w:ascii="方正仿宋_GBK" w:hAnsi="宋体" w:eastAsia="方正仿宋_GBK"/>
          <w:color w:val="000000"/>
          <w:sz w:val="32"/>
          <w:szCs w:val="32"/>
          <w:highlight w:val="none"/>
        </w:rPr>
        <w:t>标</w:t>
      </w:r>
      <w:r>
        <w:rPr>
          <w:rFonts w:ascii="方正仿宋_GBK" w:hAnsi="宋体" w:eastAsia="方正仿宋_GBK"/>
          <w:color w:val="000000"/>
          <w:sz w:val="32"/>
          <w:szCs w:val="32"/>
          <w:highlight w:val="none"/>
        </w:rPr>
        <w:t>人上级行政主管部</w:t>
      </w:r>
      <w:r>
        <w:rPr>
          <w:rFonts w:hint="eastAsia" w:ascii="方正仿宋_GBK" w:hAnsi="宋体" w:eastAsia="方正仿宋_GBK"/>
          <w:color w:val="000000"/>
          <w:sz w:val="32"/>
          <w:szCs w:val="32"/>
          <w:highlight w:val="none"/>
        </w:rPr>
        <w:t>门对概算编制的深度要</w:t>
      </w:r>
      <w:r>
        <w:rPr>
          <w:rFonts w:ascii="方正仿宋_GBK" w:hAnsi="宋体" w:eastAsia="方正仿宋_GBK"/>
          <w:color w:val="000000"/>
          <w:sz w:val="32"/>
          <w:szCs w:val="32"/>
          <w:highlight w:val="none"/>
        </w:rPr>
        <w:t>求</w:t>
      </w:r>
      <w:r>
        <w:rPr>
          <w:rFonts w:hint="eastAsia" w:ascii="方正仿宋_GBK" w:hAnsi="宋体" w:eastAsia="方正仿宋_GBK"/>
          <w:color w:val="000000"/>
          <w:sz w:val="32"/>
          <w:szCs w:val="32"/>
          <w:highlight w:val="none"/>
        </w:rPr>
        <w:t>。投标人的医院功能设计</w:t>
      </w:r>
      <w:r>
        <w:rPr>
          <w:rFonts w:ascii="方正仿宋_GBK" w:hAnsi="宋体" w:eastAsia="方正仿宋_GBK"/>
          <w:color w:val="000000"/>
          <w:sz w:val="32"/>
          <w:szCs w:val="32"/>
          <w:highlight w:val="none"/>
        </w:rPr>
        <w:t>、分区设计、流程设计</w:t>
      </w:r>
      <w:r>
        <w:rPr>
          <w:rFonts w:hint="eastAsia" w:ascii="方正仿宋_GBK" w:hAnsi="宋体" w:eastAsia="方正仿宋_GBK"/>
          <w:color w:val="000000"/>
          <w:sz w:val="32"/>
          <w:szCs w:val="32"/>
          <w:highlight w:val="none"/>
        </w:rPr>
        <w:t>、人流设计等均应满足行政主管部门及入驻使用单位要求。</w:t>
      </w:r>
    </w:p>
    <w:p w14:paraId="0BBB0A92">
      <w:pPr>
        <w:spacing w:line="580" w:lineRule="exact"/>
        <w:rPr>
          <w:rFonts w:ascii="宋体" w:hAnsi="宋体"/>
          <w:b/>
          <w:sz w:val="28"/>
          <w:szCs w:val="28"/>
          <w:highlight w:val="none"/>
        </w:rPr>
      </w:pPr>
      <w:r>
        <w:rPr>
          <w:rFonts w:hint="eastAsia" w:ascii="宋体" w:hAnsi="宋体"/>
          <w:b/>
          <w:sz w:val="28"/>
          <w:szCs w:val="28"/>
          <w:highlight w:val="none"/>
        </w:rPr>
        <w:t>五、比选</w:t>
      </w:r>
      <w:r>
        <w:rPr>
          <w:rFonts w:ascii="宋体" w:hAnsi="宋体"/>
          <w:b/>
          <w:sz w:val="28"/>
          <w:szCs w:val="28"/>
          <w:highlight w:val="none"/>
        </w:rPr>
        <w:t>人</w:t>
      </w:r>
      <w:r>
        <w:rPr>
          <w:rFonts w:hint="eastAsia" w:ascii="宋体" w:hAnsi="宋体"/>
          <w:b/>
          <w:sz w:val="28"/>
          <w:szCs w:val="28"/>
          <w:highlight w:val="none"/>
        </w:rPr>
        <w:t>资格要求</w:t>
      </w:r>
    </w:p>
    <w:p w14:paraId="0C25EA62">
      <w:pPr>
        <w:spacing w:line="600" w:lineRule="exact"/>
        <w:ind w:firstLine="640" w:firstLineChars="200"/>
        <w:rPr>
          <w:rFonts w:ascii="方正仿宋_GBK" w:hAnsi="宋体" w:eastAsia="方正仿宋_GBK"/>
          <w:sz w:val="32"/>
          <w:szCs w:val="32"/>
          <w:highlight w:val="none"/>
        </w:rPr>
      </w:pPr>
      <w:r>
        <w:rPr>
          <w:rFonts w:ascii="方正仿宋_GBK" w:hAnsi="宋体" w:eastAsia="方正仿宋_GBK"/>
          <w:sz w:val="32"/>
          <w:szCs w:val="32"/>
          <w:highlight w:val="none"/>
        </w:rPr>
        <w:t>5</w:t>
      </w:r>
      <w:r>
        <w:rPr>
          <w:rFonts w:hint="eastAsia" w:ascii="方正仿宋_GBK" w:hAnsi="宋体" w:eastAsia="方正仿宋_GBK"/>
          <w:sz w:val="32"/>
          <w:szCs w:val="32"/>
          <w:highlight w:val="none"/>
        </w:rPr>
        <w:t>.1投标人应具备下列设计资质之一：</w:t>
      </w:r>
    </w:p>
    <w:p w14:paraId="259D739E">
      <w:pPr>
        <w:spacing w:line="60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①工程设计综合甲级资质。</w:t>
      </w:r>
    </w:p>
    <w:p w14:paraId="246928DA">
      <w:pPr>
        <w:spacing w:line="60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②工程设计建筑行业甲级资质 。</w:t>
      </w:r>
    </w:p>
    <w:p w14:paraId="7150EC5D">
      <w:pPr>
        <w:spacing w:line="600" w:lineRule="exact"/>
        <w:ind w:firstLine="640" w:firstLineChars="200"/>
        <w:rPr>
          <w:rFonts w:ascii="方正仿宋_GBK" w:hAnsi="宋体" w:eastAsia="方正仿宋_GBK"/>
          <w:sz w:val="32"/>
          <w:szCs w:val="32"/>
        </w:rPr>
      </w:pPr>
      <w:r>
        <w:rPr>
          <w:rFonts w:hint="eastAsia" w:ascii="方正仿宋_GBK" w:hAnsi="宋体" w:eastAsia="方正仿宋_GBK"/>
          <w:sz w:val="32"/>
          <w:szCs w:val="32"/>
        </w:rPr>
        <w:t>③工程设计建筑行业（建筑工程）专业甲级资质。</w:t>
      </w:r>
    </w:p>
    <w:p w14:paraId="48889C54">
      <w:pPr>
        <w:spacing w:line="60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rPr>
        <w:t>④工程</w:t>
      </w:r>
      <w:r>
        <w:rPr>
          <w:rFonts w:ascii="方正仿宋_GBK" w:hAnsi="宋体" w:eastAsia="方正仿宋_GBK"/>
          <w:sz w:val="32"/>
          <w:szCs w:val="32"/>
        </w:rPr>
        <w:t>设计</w:t>
      </w:r>
      <w:r>
        <w:rPr>
          <w:rFonts w:hint="eastAsia" w:ascii="方正仿宋_GBK" w:hAnsi="宋体" w:eastAsia="方正仿宋_GBK"/>
          <w:sz w:val="32"/>
          <w:szCs w:val="32"/>
        </w:rPr>
        <w:t>建筑</w:t>
      </w:r>
      <w:r>
        <w:rPr>
          <w:rFonts w:ascii="方正仿宋_GBK" w:hAnsi="宋体" w:eastAsia="方正仿宋_GBK"/>
          <w:sz w:val="32"/>
          <w:szCs w:val="32"/>
          <w:highlight w:val="none"/>
        </w:rPr>
        <w:t>装饰</w:t>
      </w:r>
      <w:r>
        <w:rPr>
          <w:rFonts w:hint="eastAsia" w:ascii="方正仿宋_GBK" w:hAnsi="宋体" w:eastAsia="方正仿宋_GBK"/>
          <w:sz w:val="32"/>
          <w:szCs w:val="32"/>
          <w:highlight w:val="none"/>
        </w:rPr>
        <w:t>专项</w:t>
      </w:r>
      <w:r>
        <w:rPr>
          <w:rFonts w:ascii="方正仿宋_GBK" w:hAnsi="宋体" w:eastAsia="方正仿宋_GBK"/>
          <w:sz w:val="32"/>
          <w:szCs w:val="32"/>
          <w:highlight w:val="none"/>
        </w:rPr>
        <w:t>甲级资质</w:t>
      </w:r>
      <w:r>
        <w:rPr>
          <w:rFonts w:hint="eastAsia" w:ascii="方正仿宋_GBK" w:hAnsi="宋体" w:eastAsia="方正仿宋_GBK"/>
          <w:sz w:val="32"/>
          <w:szCs w:val="32"/>
          <w:highlight w:val="none"/>
        </w:rPr>
        <w:t>（提供有效的营业执照及资质证书副本复印件并加盖单位公章）。</w:t>
      </w:r>
    </w:p>
    <w:p w14:paraId="41BE4879">
      <w:pPr>
        <w:spacing w:line="600" w:lineRule="exact"/>
        <w:ind w:firstLine="640" w:firstLineChars="200"/>
        <w:rPr>
          <w:rFonts w:ascii="方正仿宋_GBK" w:hAnsi="宋体" w:eastAsia="方正仿宋_GBK"/>
          <w:sz w:val="32"/>
          <w:szCs w:val="32"/>
          <w:highlight w:val="none"/>
        </w:rPr>
      </w:pPr>
      <w:r>
        <w:rPr>
          <w:rFonts w:hint="eastAsia" w:ascii="方正仿宋_GBK" w:hAnsi="宋体" w:eastAsia="方正仿宋_GBK"/>
          <w:sz w:val="32"/>
          <w:szCs w:val="32"/>
          <w:highlight w:val="none"/>
        </w:rPr>
        <w:t>3.2投标人</w:t>
      </w:r>
      <w:r>
        <w:rPr>
          <w:rFonts w:ascii="方正仿宋_GBK" w:hAnsi="宋体" w:eastAsia="方正仿宋_GBK"/>
          <w:sz w:val="32"/>
          <w:szCs w:val="32"/>
          <w:highlight w:val="none"/>
        </w:rPr>
        <w:t>2020</w:t>
      </w:r>
      <w:r>
        <w:rPr>
          <w:rFonts w:hint="eastAsia" w:ascii="方正仿宋_GBK" w:hAnsi="宋体" w:eastAsia="方正仿宋_GBK"/>
          <w:sz w:val="32"/>
          <w:szCs w:val="32"/>
          <w:highlight w:val="none"/>
        </w:rPr>
        <w:t>年1月1日至投标截止日（以施工图审查合同书为准）完成过1个总建筑面积</w:t>
      </w:r>
      <w:r>
        <w:rPr>
          <w:rFonts w:ascii="方正仿宋_GBK" w:hAnsi="宋体" w:eastAsia="方正仿宋_GBK"/>
          <w:sz w:val="32"/>
          <w:szCs w:val="32"/>
          <w:highlight w:val="none"/>
        </w:rPr>
        <w:t>20000</w:t>
      </w:r>
      <w:r>
        <w:rPr>
          <w:rFonts w:hint="eastAsia" w:ascii="方正仿宋_GBK" w:hAnsi="宋体" w:eastAsia="方正仿宋_GBK"/>
          <w:sz w:val="32"/>
          <w:szCs w:val="32"/>
          <w:highlight w:val="none"/>
        </w:rPr>
        <w:t>㎡及以上的卫生建筑设计业绩（单独设计业绩或EPC总承包中的设计业绩均可）。投标人须在投标文件资格审查部分提供该业绩的中标通知书（直接发包的项目可提供项目发包人出具的项目直接发包情况说明或证明文书代替）、合同协议书和施工图审查合格证明材料。</w:t>
      </w:r>
    </w:p>
    <w:p w14:paraId="09A41432">
      <w:pPr>
        <w:spacing w:line="600" w:lineRule="exact"/>
        <w:ind w:firstLine="562" w:firstLineChars="200"/>
        <w:rPr>
          <w:rFonts w:ascii="宋体" w:hAnsi="宋体"/>
          <w:b/>
          <w:sz w:val="28"/>
          <w:szCs w:val="28"/>
          <w:highlight w:val="none"/>
        </w:rPr>
      </w:pPr>
      <w:r>
        <w:rPr>
          <w:rFonts w:hint="eastAsia" w:ascii="宋体" w:hAnsi="宋体"/>
          <w:b/>
          <w:sz w:val="28"/>
          <w:szCs w:val="28"/>
          <w:highlight w:val="none"/>
        </w:rPr>
        <w:t>六</w:t>
      </w:r>
      <w:r>
        <w:rPr>
          <w:rFonts w:ascii="宋体" w:hAnsi="宋体"/>
          <w:b/>
          <w:sz w:val="28"/>
          <w:szCs w:val="28"/>
          <w:highlight w:val="none"/>
        </w:rPr>
        <w:t>、</w:t>
      </w:r>
      <w:r>
        <w:rPr>
          <w:rFonts w:hint="eastAsia" w:ascii="宋体" w:hAnsi="宋体"/>
          <w:b/>
          <w:sz w:val="28"/>
          <w:szCs w:val="28"/>
          <w:highlight w:val="none"/>
        </w:rPr>
        <w:t>比选报</w:t>
      </w:r>
      <w:r>
        <w:rPr>
          <w:rFonts w:ascii="宋体" w:hAnsi="宋体"/>
          <w:b/>
          <w:sz w:val="28"/>
          <w:szCs w:val="28"/>
          <w:highlight w:val="none"/>
        </w:rPr>
        <w:t>价</w:t>
      </w:r>
    </w:p>
    <w:p w14:paraId="4692106B">
      <w:pPr>
        <w:spacing w:line="600" w:lineRule="exact"/>
        <w:ind w:firstLine="640" w:firstLineChars="200"/>
        <w:rPr>
          <w:rFonts w:ascii="方正仿宋_GBK" w:eastAsia="方正仿宋_GBK" w:hAnsiTheme="minorHAnsi" w:cstheme="minorBidi"/>
          <w:sz w:val="32"/>
          <w:szCs w:val="32"/>
        </w:rPr>
      </w:pPr>
      <w:r>
        <w:rPr>
          <w:rFonts w:hint="eastAsia" w:ascii="方正仿宋_GBK" w:eastAsia="方正仿宋_GBK" w:hAnsiTheme="minorHAnsi" w:cstheme="minorBidi"/>
          <w:sz w:val="32"/>
          <w:szCs w:val="32"/>
          <w:highlight w:val="none"/>
        </w:rPr>
        <w:t>本项目投标总报价最高限价为</w:t>
      </w:r>
      <w:r>
        <w:rPr>
          <w:rFonts w:ascii="方正仿宋_GBK" w:eastAsia="方正仿宋_GBK" w:hAnsiTheme="minorHAnsi" w:cstheme="minorBidi"/>
          <w:sz w:val="32"/>
          <w:szCs w:val="32"/>
          <w:highlight w:val="none"/>
          <w:u w:val="single"/>
        </w:rPr>
        <w:t>961500</w:t>
      </w:r>
      <w:r>
        <w:rPr>
          <w:rFonts w:hint="eastAsia" w:ascii="方正仿宋_GBK" w:eastAsia="方正仿宋_GBK" w:hAnsiTheme="minorHAnsi" w:cstheme="minorBidi"/>
          <w:sz w:val="32"/>
          <w:szCs w:val="32"/>
          <w:highlight w:val="none"/>
        </w:rPr>
        <w:t>元，投</w:t>
      </w:r>
      <w:r>
        <w:rPr>
          <w:rFonts w:hint="eastAsia" w:ascii="方正仿宋_GBK" w:eastAsia="方正仿宋_GBK" w:hAnsiTheme="minorHAnsi" w:cstheme="minorBidi"/>
          <w:sz w:val="32"/>
          <w:szCs w:val="32"/>
        </w:rPr>
        <w:t>标人投标总报价、设计费分项报价、设计费全费用单价报</w:t>
      </w:r>
      <w:r>
        <w:rPr>
          <w:rFonts w:ascii="方正仿宋_GBK" w:eastAsia="方正仿宋_GBK" w:hAnsiTheme="minorHAnsi" w:cstheme="minorBidi"/>
          <w:sz w:val="32"/>
          <w:szCs w:val="32"/>
        </w:rPr>
        <w:t>价</w:t>
      </w:r>
      <w:r>
        <w:rPr>
          <w:rFonts w:hint="eastAsia" w:ascii="方正仿宋_GBK" w:eastAsia="方正仿宋_GBK" w:hAnsiTheme="minorHAnsi" w:cstheme="minorBidi"/>
          <w:sz w:val="32"/>
          <w:szCs w:val="32"/>
        </w:rPr>
        <w:t>均不得超过下表中招标人公布的对应的最高限价，否则按废标处理。</w:t>
      </w:r>
    </w:p>
    <w:tbl>
      <w:tblPr>
        <w:tblStyle w:val="10"/>
        <w:tblW w:w="0" w:type="auto"/>
        <w:tblInd w:w="-5" w:type="dxa"/>
        <w:tblLayout w:type="autofit"/>
        <w:tblCellMar>
          <w:top w:w="0" w:type="dxa"/>
          <w:left w:w="108" w:type="dxa"/>
          <w:bottom w:w="0" w:type="dxa"/>
          <w:right w:w="108" w:type="dxa"/>
        </w:tblCellMar>
      </w:tblPr>
      <w:tblGrid>
        <w:gridCol w:w="503"/>
        <w:gridCol w:w="3324"/>
        <w:gridCol w:w="573"/>
        <w:gridCol w:w="869"/>
        <w:gridCol w:w="1629"/>
        <w:gridCol w:w="1629"/>
      </w:tblGrid>
      <w:tr w14:paraId="2E9541A1">
        <w:tblPrEx>
          <w:tblCellMar>
            <w:top w:w="0" w:type="dxa"/>
            <w:left w:w="108" w:type="dxa"/>
            <w:bottom w:w="0" w:type="dxa"/>
            <w:right w:w="108" w:type="dxa"/>
          </w:tblCellMar>
        </w:tblPrEx>
        <w:trPr>
          <w:trHeight w:val="79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C8CA66B">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0" w:type="auto"/>
            <w:tcBorders>
              <w:top w:val="single" w:color="auto" w:sz="4" w:space="0"/>
              <w:left w:val="nil"/>
              <w:bottom w:val="single" w:color="auto" w:sz="4" w:space="0"/>
              <w:right w:val="single" w:color="auto" w:sz="4" w:space="0"/>
            </w:tcBorders>
            <w:shd w:val="clear" w:color="auto" w:fill="auto"/>
            <w:vAlign w:val="center"/>
          </w:tcPr>
          <w:p w14:paraId="6AD956FF">
            <w:pPr>
              <w:widowControl/>
              <w:jc w:val="center"/>
              <w:rPr>
                <w:rFonts w:ascii="宋体" w:hAnsi="宋体" w:cs="宋体"/>
                <w:color w:val="000000"/>
                <w:kern w:val="0"/>
                <w:sz w:val="22"/>
                <w:szCs w:val="22"/>
              </w:rPr>
            </w:pPr>
            <w:r>
              <w:rPr>
                <w:rFonts w:hint="eastAsia" w:ascii="宋体" w:hAnsi="宋体" w:cs="宋体"/>
                <w:color w:val="000000"/>
                <w:kern w:val="0"/>
                <w:sz w:val="22"/>
                <w:szCs w:val="22"/>
              </w:rPr>
              <w:t>设计部位</w:t>
            </w:r>
          </w:p>
        </w:tc>
        <w:tc>
          <w:tcPr>
            <w:tcW w:w="0" w:type="auto"/>
            <w:tcBorders>
              <w:top w:val="single" w:color="auto" w:sz="4" w:space="0"/>
              <w:left w:val="nil"/>
              <w:bottom w:val="single" w:color="auto" w:sz="4" w:space="0"/>
              <w:right w:val="single" w:color="auto" w:sz="4" w:space="0"/>
            </w:tcBorders>
            <w:shd w:val="clear" w:color="auto" w:fill="auto"/>
            <w:vAlign w:val="center"/>
          </w:tcPr>
          <w:p w14:paraId="2EEB65DB">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0" w:type="auto"/>
            <w:tcBorders>
              <w:top w:val="single" w:color="auto" w:sz="4" w:space="0"/>
              <w:left w:val="nil"/>
              <w:bottom w:val="single" w:color="auto" w:sz="4" w:space="0"/>
              <w:right w:val="single" w:color="auto" w:sz="4" w:space="0"/>
            </w:tcBorders>
            <w:shd w:val="clear" w:color="auto" w:fill="auto"/>
            <w:vAlign w:val="center"/>
          </w:tcPr>
          <w:p w14:paraId="17AF47B8">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建筑面积</w:t>
            </w:r>
          </w:p>
        </w:tc>
        <w:tc>
          <w:tcPr>
            <w:tcW w:w="0" w:type="auto"/>
            <w:tcBorders>
              <w:top w:val="single" w:color="auto" w:sz="4" w:space="0"/>
              <w:left w:val="nil"/>
              <w:bottom w:val="single" w:color="auto" w:sz="4" w:space="0"/>
              <w:right w:val="single" w:color="auto" w:sz="4" w:space="0"/>
            </w:tcBorders>
            <w:shd w:val="clear" w:color="auto" w:fill="auto"/>
            <w:vAlign w:val="center"/>
          </w:tcPr>
          <w:p w14:paraId="3A5F2A6C">
            <w:pPr>
              <w:widowControl/>
              <w:jc w:val="center"/>
              <w:rPr>
                <w:rFonts w:ascii="宋体" w:hAnsi="宋体" w:cs="宋体"/>
                <w:color w:val="000000"/>
                <w:kern w:val="0"/>
                <w:sz w:val="22"/>
                <w:szCs w:val="22"/>
              </w:rPr>
            </w:pPr>
            <w:r>
              <w:rPr>
                <w:rFonts w:hint="eastAsia" w:ascii="宋体" w:hAnsi="宋体" w:cs="宋体"/>
                <w:color w:val="000000"/>
                <w:kern w:val="0"/>
                <w:sz w:val="22"/>
                <w:szCs w:val="22"/>
              </w:rPr>
              <w:t>全费用综合单价最高限价（元）</w:t>
            </w:r>
          </w:p>
        </w:tc>
        <w:tc>
          <w:tcPr>
            <w:tcW w:w="0" w:type="auto"/>
            <w:tcBorders>
              <w:top w:val="single" w:color="auto" w:sz="4" w:space="0"/>
              <w:left w:val="nil"/>
              <w:bottom w:val="single" w:color="auto" w:sz="4" w:space="0"/>
              <w:right w:val="single" w:color="auto" w:sz="4" w:space="0"/>
            </w:tcBorders>
            <w:shd w:val="clear" w:color="auto" w:fill="auto"/>
            <w:vAlign w:val="center"/>
          </w:tcPr>
          <w:p w14:paraId="6FEB3D22">
            <w:pPr>
              <w:widowControl/>
              <w:jc w:val="center"/>
              <w:rPr>
                <w:rFonts w:ascii="宋体" w:hAnsi="宋体" w:cs="宋体"/>
                <w:color w:val="000000"/>
                <w:kern w:val="0"/>
                <w:sz w:val="22"/>
                <w:szCs w:val="22"/>
              </w:rPr>
            </w:pPr>
            <w:r>
              <w:rPr>
                <w:rFonts w:hint="eastAsia" w:ascii="宋体" w:hAnsi="宋体" w:cs="宋体"/>
                <w:color w:val="000000"/>
                <w:kern w:val="0"/>
                <w:sz w:val="22"/>
                <w:szCs w:val="22"/>
              </w:rPr>
              <w:t>设计费分项报价最高限价（元）</w:t>
            </w:r>
          </w:p>
        </w:tc>
      </w:tr>
      <w:tr w14:paraId="0B790D21">
        <w:tblPrEx>
          <w:tblCellMar>
            <w:top w:w="0" w:type="dxa"/>
            <w:left w:w="108" w:type="dxa"/>
            <w:bottom w:w="0" w:type="dxa"/>
            <w:right w:w="108" w:type="dxa"/>
          </w:tblCellMar>
        </w:tblPrEx>
        <w:trPr>
          <w:trHeight w:val="8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2F039621">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14:paraId="37A34542">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一至五层医院门急诊区、门诊区、住院区</w:t>
            </w:r>
          </w:p>
        </w:tc>
        <w:tc>
          <w:tcPr>
            <w:tcW w:w="0" w:type="auto"/>
            <w:tcBorders>
              <w:top w:val="nil"/>
              <w:left w:val="nil"/>
              <w:bottom w:val="single" w:color="auto" w:sz="4" w:space="0"/>
              <w:right w:val="single" w:color="auto" w:sz="4" w:space="0"/>
            </w:tcBorders>
            <w:shd w:val="clear" w:color="auto" w:fill="auto"/>
            <w:vAlign w:val="center"/>
          </w:tcPr>
          <w:p w14:paraId="0DA4C394">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0" w:type="auto"/>
            <w:tcBorders>
              <w:top w:val="nil"/>
              <w:left w:val="nil"/>
              <w:bottom w:val="single" w:color="auto" w:sz="4" w:space="0"/>
              <w:right w:val="single" w:color="auto" w:sz="4" w:space="0"/>
            </w:tcBorders>
            <w:shd w:val="clear" w:color="auto" w:fill="auto"/>
            <w:vAlign w:val="center"/>
          </w:tcPr>
          <w:p w14:paraId="04EFCD00">
            <w:pPr>
              <w:widowControl/>
              <w:jc w:val="center"/>
              <w:rPr>
                <w:rFonts w:ascii="宋体" w:hAnsi="宋体" w:cs="宋体"/>
                <w:color w:val="000000"/>
                <w:kern w:val="0"/>
                <w:sz w:val="22"/>
                <w:szCs w:val="22"/>
              </w:rPr>
            </w:pPr>
            <w:r>
              <w:rPr>
                <w:rFonts w:hint="eastAsia" w:ascii="宋体" w:hAnsi="宋体" w:cs="宋体"/>
                <w:color w:val="000000"/>
                <w:kern w:val="0"/>
                <w:sz w:val="22"/>
                <w:szCs w:val="22"/>
              </w:rPr>
              <w:t>31200</w:t>
            </w:r>
          </w:p>
        </w:tc>
        <w:tc>
          <w:tcPr>
            <w:tcW w:w="0" w:type="auto"/>
            <w:tcBorders>
              <w:top w:val="nil"/>
              <w:left w:val="nil"/>
              <w:bottom w:val="single" w:color="auto" w:sz="4" w:space="0"/>
              <w:right w:val="single" w:color="auto" w:sz="4" w:space="0"/>
            </w:tcBorders>
            <w:shd w:val="clear" w:color="auto" w:fill="auto"/>
            <w:vAlign w:val="center"/>
          </w:tcPr>
          <w:p w14:paraId="7E98305E">
            <w:pPr>
              <w:widowControl/>
              <w:jc w:val="center"/>
              <w:rPr>
                <w:rFonts w:ascii="宋体" w:hAnsi="宋体" w:cs="宋体"/>
                <w:color w:val="000000"/>
                <w:kern w:val="0"/>
                <w:sz w:val="22"/>
                <w:szCs w:val="22"/>
              </w:rPr>
            </w:pPr>
            <w:r>
              <w:rPr>
                <w:rFonts w:hint="eastAsia" w:ascii="宋体" w:hAnsi="宋体" w:cs="宋体"/>
                <w:color w:val="000000"/>
                <w:kern w:val="0"/>
                <w:sz w:val="22"/>
                <w:szCs w:val="22"/>
              </w:rPr>
              <w:t>30</w:t>
            </w:r>
          </w:p>
        </w:tc>
        <w:tc>
          <w:tcPr>
            <w:tcW w:w="0" w:type="auto"/>
            <w:tcBorders>
              <w:top w:val="nil"/>
              <w:left w:val="nil"/>
              <w:bottom w:val="single" w:color="auto" w:sz="4" w:space="0"/>
              <w:right w:val="single" w:color="auto" w:sz="4" w:space="0"/>
            </w:tcBorders>
            <w:shd w:val="clear" w:color="auto" w:fill="auto"/>
            <w:vAlign w:val="center"/>
          </w:tcPr>
          <w:p w14:paraId="2F848F45">
            <w:pPr>
              <w:widowControl/>
              <w:jc w:val="center"/>
              <w:rPr>
                <w:rFonts w:ascii="宋体" w:hAnsi="宋体" w:cs="宋体"/>
                <w:color w:val="000000"/>
                <w:kern w:val="0"/>
                <w:sz w:val="22"/>
                <w:szCs w:val="22"/>
              </w:rPr>
            </w:pPr>
            <w:r>
              <w:rPr>
                <w:rFonts w:hint="eastAsia" w:ascii="宋体" w:hAnsi="宋体" w:cs="宋体"/>
                <w:color w:val="000000"/>
                <w:kern w:val="0"/>
                <w:sz w:val="22"/>
                <w:szCs w:val="22"/>
              </w:rPr>
              <w:t>936000</w:t>
            </w:r>
          </w:p>
        </w:tc>
      </w:tr>
      <w:tr w14:paraId="26575ED1">
        <w:tblPrEx>
          <w:tblCellMar>
            <w:top w:w="0" w:type="dxa"/>
            <w:left w:w="108" w:type="dxa"/>
            <w:bottom w:w="0" w:type="dxa"/>
            <w:right w:w="108"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DF97445">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auto" w:fill="auto"/>
            <w:vAlign w:val="center"/>
          </w:tcPr>
          <w:p w14:paraId="25EE4745">
            <w:pPr>
              <w:widowControl/>
              <w:jc w:val="center"/>
              <w:rPr>
                <w:rFonts w:ascii="宋体" w:hAnsi="宋体" w:cs="宋体"/>
                <w:color w:val="000000"/>
                <w:kern w:val="0"/>
                <w:sz w:val="22"/>
                <w:szCs w:val="22"/>
              </w:rPr>
            </w:pPr>
            <w:r>
              <w:rPr>
                <w:rFonts w:hint="eastAsia" w:ascii="宋体" w:hAnsi="宋体" w:cs="宋体"/>
                <w:color w:val="000000"/>
                <w:kern w:val="0"/>
                <w:sz w:val="22"/>
                <w:szCs w:val="22"/>
              </w:rPr>
              <w:t>地下层、附楼（包括但不限于食堂、车库、办公区、后勤保障、业务管理、其他配套用房等）</w:t>
            </w:r>
          </w:p>
        </w:tc>
        <w:tc>
          <w:tcPr>
            <w:tcW w:w="0" w:type="auto"/>
            <w:tcBorders>
              <w:top w:val="nil"/>
              <w:left w:val="nil"/>
              <w:bottom w:val="single" w:color="auto" w:sz="4" w:space="0"/>
              <w:right w:val="single" w:color="auto" w:sz="4" w:space="0"/>
            </w:tcBorders>
            <w:shd w:val="clear" w:color="auto" w:fill="auto"/>
            <w:vAlign w:val="center"/>
          </w:tcPr>
          <w:p w14:paraId="4130F17E">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0" w:type="auto"/>
            <w:tcBorders>
              <w:top w:val="nil"/>
              <w:left w:val="nil"/>
              <w:bottom w:val="single" w:color="auto" w:sz="4" w:space="0"/>
              <w:right w:val="single" w:color="auto" w:sz="4" w:space="0"/>
            </w:tcBorders>
            <w:shd w:val="clear" w:color="auto" w:fill="auto"/>
            <w:vAlign w:val="center"/>
          </w:tcPr>
          <w:p w14:paraId="0DAD36EF">
            <w:pPr>
              <w:widowControl/>
              <w:jc w:val="center"/>
              <w:rPr>
                <w:rFonts w:ascii="宋体" w:hAnsi="宋体" w:cs="宋体"/>
                <w:color w:val="000000"/>
                <w:kern w:val="0"/>
                <w:sz w:val="22"/>
                <w:szCs w:val="22"/>
              </w:rPr>
            </w:pPr>
            <w:r>
              <w:rPr>
                <w:rFonts w:hint="eastAsia" w:ascii="宋体" w:hAnsi="宋体" w:cs="宋体"/>
                <w:color w:val="000000"/>
                <w:kern w:val="0"/>
                <w:sz w:val="22"/>
                <w:szCs w:val="22"/>
              </w:rPr>
              <w:t>5100</w:t>
            </w:r>
          </w:p>
        </w:tc>
        <w:tc>
          <w:tcPr>
            <w:tcW w:w="0" w:type="auto"/>
            <w:tcBorders>
              <w:top w:val="nil"/>
              <w:left w:val="nil"/>
              <w:bottom w:val="single" w:color="auto" w:sz="4" w:space="0"/>
              <w:right w:val="single" w:color="auto" w:sz="4" w:space="0"/>
            </w:tcBorders>
            <w:shd w:val="clear" w:color="auto" w:fill="auto"/>
            <w:vAlign w:val="center"/>
          </w:tcPr>
          <w:p w14:paraId="49211F3A">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0" w:type="auto"/>
            <w:tcBorders>
              <w:top w:val="nil"/>
              <w:left w:val="nil"/>
              <w:bottom w:val="single" w:color="auto" w:sz="4" w:space="0"/>
              <w:right w:val="single" w:color="auto" w:sz="4" w:space="0"/>
            </w:tcBorders>
            <w:shd w:val="clear" w:color="auto" w:fill="auto"/>
            <w:vAlign w:val="center"/>
          </w:tcPr>
          <w:p w14:paraId="16B7DAF3">
            <w:pPr>
              <w:widowControl/>
              <w:jc w:val="center"/>
              <w:rPr>
                <w:rFonts w:ascii="宋体" w:hAnsi="宋体" w:cs="宋体"/>
                <w:color w:val="000000"/>
                <w:kern w:val="0"/>
                <w:sz w:val="22"/>
                <w:szCs w:val="22"/>
              </w:rPr>
            </w:pPr>
            <w:r>
              <w:rPr>
                <w:rFonts w:hint="eastAsia" w:ascii="宋体" w:hAnsi="宋体" w:cs="宋体"/>
                <w:color w:val="000000"/>
                <w:kern w:val="0"/>
                <w:sz w:val="22"/>
                <w:szCs w:val="22"/>
              </w:rPr>
              <w:t>25500</w:t>
            </w:r>
          </w:p>
        </w:tc>
      </w:tr>
      <w:tr w14:paraId="21CBCA6A">
        <w:tblPrEx>
          <w:tblCellMar>
            <w:top w:w="0" w:type="dxa"/>
            <w:left w:w="108" w:type="dxa"/>
            <w:bottom w:w="0" w:type="dxa"/>
            <w:right w:w="108" w:type="dxa"/>
          </w:tblCellMar>
        </w:tblPrEx>
        <w:trPr>
          <w:trHeight w:val="78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00DD36CB">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投标总报价最高限价</w:t>
            </w:r>
          </w:p>
        </w:tc>
        <w:tc>
          <w:tcPr>
            <w:tcW w:w="0" w:type="auto"/>
            <w:tcBorders>
              <w:top w:val="nil"/>
              <w:left w:val="nil"/>
              <w:bottom w:val="single" w:color="auto" w:sz="4" w:space="0"/>
              <w:right w:val="single" w:color="auto" w:sz="4" w:space="0"/>
            </w:tcBorders>
            <w:shd w:val="clear" w:color="auto" w:fill="auto"/>
            <w:vAlign w:val="center"/>
          </w:tcPr>
          <w:p w14:paraId="418BCC6F">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2B2E8B21">
            <w:pPr>
              <w:widowControl/>
              <w:jc w:val="center"/>
              <w:rPr>
                <w:rFonts w:ascii="宋体" w:hAnsi="宋体" w:cs="宋体"/>
                <w:color w:val="000000"/>
                <w:kern w:val="0"/>
                <w:sz w:val="22"/>
                <w:szCs w:val="22"/>
              </w:rPr>
            </w:pPr>
            <w:r>
              <w:rPr>
                <w:rFonts w:hint="eastAsia" w:ascii="宋体" w:hAnsi="宋体" w:cs="宋体"/>
                <w:color w:val="000000"/>
                <w:kern w:val="0"/>
                <w:sz w:val="22"/>
                <w:szCs w:val="22"/>
              </w:rPr>
              <w:t>36300</w:t>
            </w:r>
          </w:p>
        </w:tc>
        <w:tc>
          <w:tcPr>
            <w:tcW w:w="0" w:type="auto"/>
            <w:tcBorders>
              <w:top w:val="nil"/>
              <w:left w:val="nil"/>
              <w:bottom w:val="single" w:color="auto" w:sz="4" w:space="0"/>
              <w:right w:val="single" w:color="auto" w:sz="4" w:space="0"/>
            </w:tcBorders>
            <w:shd w:val="clear" w:color="auto" w:fill="auto"/>
            <w:vAlign w:val="center"/>
          </w:tcPr>
          <w:p w14:paraId="339C36E6">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0AF2DB17">
            <w:pPr>
              <w:widowControl/>
              <w:jc w:val="center"/>
              <w:rPr>
                <w:rFonts w:ascii="宋体" w:hAnsi="宋体" w:cs="宋体"/>
                <w:color w:val="000000"/>
                <w:kern w:val="0"/>
                <w:sz w:val="22"/>
                <w:szCs w:val="22"/>
              </w:rPr>
            </w:pPr>
            <w:r>
              <w:rPr>
                <w:rFonts w:hint="eastAsia" w:ascii="宋体" w:hAnsi="宋体" w:cs="宋体"/>
                <w:color w:val="000000"/>
                <w:kern w:val="0"/>
                <w:sz w:val="22"/>
                <w:szCs w:val="22"/>
              </w:rPr>
              <w:t>961500</w:t>
            </w:r>
          </w:p>
        </w:tc>
      </w:tr>
    </w:tbl>
    <w:p w14:paraId="2220FBCF">
      <w:pPr>
        <w:spacing w:line="600" w:lineRule="exact"/>
        <w:ind w:firstLine="640" w:firstLineChars="200"/>
        <w:rPr>
          <w:rFonts w:ascii="方正仿宋_GBK" w:eastAsia="方正仿宋_GBK" w:hAnsiTheme="minorHAnsi" w:cstheme="minorBidi"/>
          <w:sz w:val="32"/>
          <w:szCs w:val="32"/>
        </w:rPr>
      </w:pPr>
      <w:r>
        <w:rPr>
          <w:rFonts w:ascii="方正仿宋_GBK" w:eastAsia="方正仿宋_GBK" w:hAnsiTheme="minorHAnsi" w:cstheme="minorBidi"/>
          <w:sz w:val="32"/>
          <w:szCs w:val="32"/>
        </w:rPr>
        <w:t>投标人各分项报价及总报价应等于工程量及单价，</w:t>
      </w:r>
      <w:r>
        <w:rPr>
          <w:rFonts w:hint="eastAsia" w:ascii="方正仿宋_GBK" w:eastAsia="方正仿宋_GBK" w:hAnsiTheme="minorHAnsi" w:cstheme="minorBidi"/>
          <w:sz w:val="32"/>
          <w:szCs w:val="32"/>
        </w:rPr>
        <w:t>分</w:t>
      </w:r>
      <w:r>
        <w:rPr>
          <w:rFonts w:ascii="方正仿宋_GBK" w:eastAsia="方正仿宋_GBK" w:hAnsiTheme="minorHAnsi" w:cstheme="minorBidi"/>
          <w:sz w:val="32"/>
          <w:szCs w:val="32"/>
        </w:rPr>
        <w:t>项报价的计算结果，投标人的报价不得更改招标人给出的工程量，否则均按否决投标处理。</w:t>
      </w:r>
    </w:p>
    <w:p w14:paraId="6668E99F">
      <w:pPr>
        <w:spacing w:line="600" w:lineRule="exact"/>
        <w:ind w:firstLine="640" w:firstLineChars="200"/>
        <w:rPr>
          <w:rFonts w:ascii="方正仿宋_GBK" w:hAnsi="宋体" w:eastAsia="方正仿宋_GBK"/>
          <w:sz w:val="32"/>
          <w:szCs w:val="32"/>
        </w:rPr>
      </w:pPr>
      <w:r>
        <w:rPr>
          <w:rFonts w:hint="eastAsia" w:ascii="方正仿宋_GBK" w:eastAsia="方正仿宋_GBK" w:hAnsiTheme="minorHAnsi" w:cstheme="minorBidi"/>
          <w:sz w:val="32"/>
          <w:szCs w:val="32"/>
        </w:rPr>
        <w:t>投标人投标总报价、</w:t>
      </w:r>
      <w:r>
        <w:rPr>
          <w:rFonts w:ascii="方正仿宋_GBK" w:eastAsia="方正仿宋_GBK" w:hAnsiTheme="minorHAnsi" w:cstheme="minorBidi"/>
          <w:sz w:val="32"/>
          <w:szCs w:val="32"/>
        </w:rPr>
        <w:t>投标固定单价</w:t>
      </w:r>
      <w:r>
        <w:rPr>
          <w:rFonts w:hint="eastAsia" w:ascii="方正仿宋_GBK" w:eastAsia="方正仿宋_GBK" w:hAnsiTheme="minorHAnsi" w:cstheme="minorBidi"/>
          <w:sz w:val="32"/>
          <w:szCs w:val="32"/>
        </w:rPr>
        <w:t>包括但不限于设计人为完成招标范围内设计内容所需的的设计费、出图费、投资估算、概算编制费、效果图费、项目讨论会务费、专家评审费（如果有）、税金、规费、施工现场服务费、竣工验收、质保期服务及其他按建设行政主管部门的要求完成BIM等信息化设计工作、装配式建筑、海绵城市建设、绿色节能、医养功能设计、医技设计、人流导向、医院流程设计等专项设计的所有费用，投标人应充分考虑设计中可能产生的各种费用，中标后的固定单价不作调整。</w:t>
      </w:r>
    </w:p>
    <w:p w14:paraId="13F3CA8E">
      <w:pPr>
        <w:spacing w:line="580" w:lineRule="exact"/>
        <w:rPr>
          <w:rFonts w:ascii="宋体" w:hAnsi="宋体"/>
          <w:b/>
          <w:sz w:val="28"/>
          <w:szCs w:val="28"/>
        </w:rPr>
      </w:pPr>
      <w:r>
        <w:rPr>
          <w:rFonts w:hint="eastAsia" w:ascii="宋体" w:hAnsi="宋体"/>
          <w:b/>
          <w:sz w:val="28"/>
          <w:szCs w:val="28"/>
        </w:rPr>
        <w:t>七</w:t>
      </w:r>
      <w:r>
        <w:rPr>
          <w:rFonts w:ascii="宋体" w:hAnsi="宋体"/>
          <w:b/>
          <w:sz w:val="28"/>
          <w:szCs w:val="28"/>
        </w:rPr>
        <w:t>、</w:t>
      </w:r>
      <w:r>
        <w:rPr>
          <w:rFonts w:hint="eastAsia" w:ascii="宋体" w:hAnsi="宋体"/>
          <w:b/>
          <w:sz w:val="28"/>
          <w:szCs w:val="28"/>
        </w:rPr>
        <w:t>投标文件要求</w:t>
      </w:r>
    </w:p>
    <w:p w14:paraId="0734A4BB">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（一）投标文件组成：</w:t>
      </w:r>
    </w:p>
    <w:p w14:paraId="15EC4037">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1、投标报价函（需加盖公司鲜章及法人签章）；</w:t>
      </w:r>
    </w:p>
    <w:p w14:paraId="5EA0A236">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2</w:t>
      </w:r>
      <w:r>
        <w:rPr>
          <w:rFonts w:ascii="方正仿宋_GBK" w:hAnsi="宋体" w:eastAsia="方正仿宋_GBK"/>
          <w:color w:val="000000"/>
          <w:sz w:val="32"/>
          <w:szCs w:val="32"/>
        </w:rPr>
        <w:t>.投标报价汇总表</w:t>
      </w:r>
      <w:r>
        <w:rPr>
          <w:rFonts w:hint="eastAsia" w:ascii="方正仿宋_GBK" w:hAnsi="宋体" w:eastAsia="方正仿宋_GBK"/>
          <w:color w:val="000000"/>
          <w:sz w:val="32"/>
          <w:szCs w:val="32"/>
        </w:rPr>
        <w:t>（需加盖公司鲜章及法人签章）；</w:t>
      </w:r>
    </w:p>
    <w:p w14:paraId="090DB981">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、有效公司营业执照复印件（需加盖公司鲜章）；</w:t>
      </w:r>
    </w:p>
    <w:p w14:paraId="68C7F6CD">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ascii="方正仿宋_GBK" w:hAnsi="宋体" w:eastAsia="方正仿宋_GBK"/>
          <w:color w:val="000000"/>
          <w:sz w:val="32"/>
          <w:szCs w:val="32"/>
        </w:rPr>
        <w:t>、有效公司资质证书复印件（需加盖公司鲜章）；</w:t>
      </w:r>
    </w:p>
    <w:p w14:paraId="161D2EBF">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5</w:t>
      </w:r>
      <w:r>
        <w:rPr>
          <w:rFonts w:hint="eastAsia" w:ascii="方正仿宋_GBK" w:hAnsi="宋体" w:eastAsia="方正仿宋_GBK"/>
          <w:color w:val="000000"/>
          <w:sz w:val="32"/>
          <w:szCs w:val="32"/>
        </w:rPr>
        <w:t>、授权委托书（加盖公司鲜章）；</w:t>
      </w:r>
    </w:p>
    <w:p w14:paraId="068B3E20">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6</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业绩资料复印件（</w:t>
      </w:r>
      <w:r>
        <w:rPr>
          <w:rFonts w:hint="eastAsia" w:ascii="方正仿宋_GBK" w:hAnsi="宋体" w:eastAsia="方正仿宋_GBK"/>
          <w:color w:val="000000"/>
          <w:sz w:val="32"/>
          <w:szCs w:val="32"/>
        </w:rPr>
        <w:t>需</w:t>
      </w:r>
      <w:r>
        <w:rPr>
          <w:rFonts w:ascii="方正仿宋_GBK" w:hAnsi="宋体" w:eastAsia="方正仿宋_GBK"/>
          <w:color w:val="000000"/>
          <w:sz w:val="32"/>
          <w:szCs w:val="32"/>
        </w:rPr>
        <w:t>加盖公司鲜章）</w:t>
      </w:r>
      <w:r>
        <w:rPr>
          <w:rFonts w:hint="eastAsia" w:ascii="方正仿宋_GBK" w:hAnsi="宋体" w:eastAsia="方正仿宋_GBK"/>
          <w:color w:val="000000"/>
          <w:sz w:val="32"/>
          <w:szCs w:val="32"/>
        </w:rPr>
        <w:t>。</w:t>
      </w:r>
    </w:p>
    <w:p w14:paraId="1011C95C">
      <w:pPr>
        <w:spacing w:line="580" w:lineRule="exact"/>
        <w:ind w:firstLine="640" w:firstLineChars="200"/>
        <w:rPr>
          <w:rFonts w:ascii="方正仿宋_GBK" w:hAnsi="宋体" w:eastAsia="方正仿宋_GBK"/>
          <w:color w:val="000000"/>
          <w:sz w:val="32"/>
          <w:szCs w:val="32"/>
        </w:rPr>
      </w:pPr>
      <w:r>
        <w:rPr>
          <w:rFonts w:hint="eastAsia" w:ascii="方正仿宋_GBK" w:hAnsi="宋体" w:eastAsia="方正仿宋_GBK"/>
          <w:color w:val="000000"/>
          <w:sz w:val="32"/>
          <w:szCs w:val="32"/>
        </w:rPr>
        <w:t>（二）投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文件制作</w:t>
      </w:r>
    </w:p>
    <w:p w14:paraId="3EA9A62E">
      <w:pPr>
        <w:spacing w:line="580" w:lineRule="exact"/>
        <w:ind w:firstLine="640" w:firstLineChars="200"/>
        <w:rPr>
          <w:rFonts w:ascii="宋体" w:hAnsi="宋体"/>
          <w:sz w:val="28"/>
          <w:szCs w:val="28"/>
        </w:rPr>
      </w:pPr>
      <w:r>
        <w:rPr>
          <w:rFonts w:hint="eastAsia" w:ascii="方正仿宋_GBK" w:hAnsi="宋体" w:eastAsia="方正仿宋_GBK"/>
          <w:color w:val="000000"/>
          <w:sz w:val="32"/>
          <w:szCs w:val="32"/>
        </w:rPr>
        <w:t>1、各投标人应当按比选文件的要求编制投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文件，并对比选文件提出的要求和条件作出实质性响应，纸质文件原则上采用软面订本，同时应编制完整的页码、目录。响应文件</w:t>
      </w:r>
      <w:r>
        <w:rPr>
          <w:rFonts w:hint="eastAsia" w:ascii="宋体" w:hAnsi="宋体"/>
          <w:b/>
          <w:sz w:val="28"/>
          <w:szCs w:val="28"/>
          <w:u w:val="single"/>
        </w:rPr>
        <w:t>一式二份</w:t>
      </w:r>
      <w:r>
        <w:rPr>
          <w:rFonts w:hint="eastAsia" w:ascii="宋体" w:hAnsi="宋体"/>
          <w:sz w:val="28"/>
          <w:szCs w:val="28"/>
        </w:rPr>
        <w:t>（</w:t>
      </w:r>
      <w:r>
        <w:rPr>
          <w:rFonts w:hint="eastAsia" w:ascii="宋体" w:hAnsi="宋体"/>
          <w:b/>
          <w:sz w:val="28"/>
          <w:szCs w:val="28"/>
        </w:rPr>
        <w:t>两份</w:t>
      </w:r>
      <w:r>
        <w:rPr>
          <w:rFonts w:ascii="宋体" w:hAnsi="宋体"/>
          <w:b/>
          <w:sz w:val="28"/>
          <w:szCs w:val="28"/>
        </w:rPr>
        <w:t>响应文件应保持内容一致</w:t>
      </w:r>
      <w:r>
        <w:rPr>
          <w:rFonts w:hint="eastAsia" w:ascii="宋体" w:hAnsi="宋体"/>
          <w:sz w:val="28"/>
          <w:szCs w:val="28"/>
        </w:rPr>
        <w:t>，</w:t>
      </w:r>
      <w:r>
        <w:rPr>
          <w:rFonts w:hint="eastAsia" w:ascii="方正仿宋_GBK" w:hAnsi="宋体" w:eastAsia="方正仿宋_GBK"/>
          <w:color w:val="000000"/>
          <w:sz w:val="32"/>
          <w:szCs w:val="32"/>
        </w:rPr>
        <w:t>如</w:t>
      </w:r>
      <w:r>
        <w:rPr>
          <w:rFonts w:ascii="方正仿宋_GBK" w:hAnsi="宋体" w:eastAsia="方正仿宋_GBK"/>
          <w:color w:val="000000"/>
          <w:sz w:val="32"/>
          <w:szCs w:val="32"/>
        </w:rPr>
        <w:t>投标人两份投标文件不一致，将按有利于招标人的一份</w:t>
      </w:r>
      <w:r>
        <w:rPr>
          <w:rFonts w:hint="eastAsia" w:ascii="方正仿宋_GBK" w:hAnsi="宋体" w:eastAsia="方正仿宋_GBK"/>
          <w:color w:val="000000"/>
          <w:sz w:val="32"/>
          <w:szCs w:val="32"/>
        </w:rPr>
        <w:t>投</w:t>
      </w:r>
      <w:r>
        <w:rPr>
          <w:rFonts w:ascii="方正仿宋_GBK" w:hAnsi="宋体" w:eastAsia="方正仿宋_GBK"/>
          <w:color w:val="000000"/>
          <w:sz w:val="32"/>
          <w:szCs w:val="32"/>
        </w:rPr>
        <w:t>标文件进行评标</w:t>
      </w:r>
      <w:r>
        <w:rPr>
          <w:rFonts w:hint="eastAsia" w:ascii="方正仿宋_GBK" w:hAnsi="宋体" w:eastAsia="方正仿宋_GBK"/>
          <w:color w:val="000000"/>
          <w:sz w:val="32"/>
          <w:szCs w:val="32"/>
        </w:rPr>
        <w:t>）</w:t>
      </w:r>
      <w:r>
        <w:rPr>
          <w:rFonts w:ascii="方正仿宋_GBK" w:hAnsi="宋体" w:eastAsia="方正仿宋_GBK"/>
          <w:color w:val="000000"/>
          <w:sz w:val="32"/>
          <w:szCs w:val="32"/>
        </w:rPr>
        <w:t>，</w:t>
      </w:r>
      <w:r>
        <w:rPr>
          <w:rFonts w:hint="eastAsia" w:ascii="方正仿宋_GBK" w:hAnsi="宋体" w:eastAsia="方正仿宋_GBK"/>
          <w:color w:val="000000"/>
          <w:sz w:val="32"/>
          <w:szCs w:val="32"/>
        </w:rPr>
        <w:t>投标</w:t>
      </w:r>
      <w:r>
        <w:rPr>
          <w:rFonts w:ascii="方正仿宋_GBK" w:hAnsi="宋体" w:eastAsia="方正仿宋_GBK"/>
          <w:color w:val="000000"/>
          <w:sz w:val="32"/>
          <w:szCs w:val="32"/>
        </w:rPr>
        <w:t>时还需</w:t>
      </w:r>
      <w:r>
        <w:rPr>
          <w:rFonts w:hint="eastAsia" w:ascii="方正仿宋_GBK" w:hAnsi="宋体" w:eastAsia="方正仿宋_GBK"/>
          <w:color w:val="000000"/>
          <w:sz w:val="32"/>
          <w:szCs w:val="32"/>
        </w:rPr>
        <w:t>递交一个装有</w:t>
      </w:r>
      <w:r>
        <w:rPr>
          <w:rFonts w:hint="eastAsia" w:ascii="宋体" w:hAnsi="宋体"/>
          <w:b/>
          <w:sz w:val="28"/>
          <w:szCs w:val="28"/>
          <w:u w:val="single"/>
        </w:rPr>
        <w:t>签字盖章</w:t>
      </w:r>
      <w:r>
        <w:rPr>
          <w:rFonts w:ascii="宋体" w:hAnsi="宋体"/>
          <w:b/>
          <w:sz w:val="28"/>
          <w:szCs w:val="28"/>
          <w:u w:val="single"/>
        </w:rPr>
        <w:t>制作</w:t>
      </w:r>
      <w:r>
        <w:rPr>
          <w:rFonts w:hint="eastAsia" w:ascii="宋体" w:hAnsi="宋体"/>
          <w:b/>
          <w:sz w:val="28"/>
          <w:szCs w:val="28"/>
          <w:u w:val="single"/>
        </w:rPr>
        <w:t>完成</w:t>
      </w:r>
      <w:r>
        <w:rPr>
          <w:rFonts w:ascii="宋体" w:hAnsi="宋体"/>
          <w:b/>
          <w:sz w:val="28"/>
          <w:szCs w:val="28"/>
          <w:u w:val="single"/>
        </w:rPr>
        <w:t>的投标文件彩色扫描</w:t>
      </w:r>
      <w:r>
        <w:rPr>
          <w:rFonts w:hint="eastAsia" w:ascii="宋体" w:hAnsi="宋体"/>
          <w:b/>
          <w:sz w:val="28"/>
          <w:szCs w:val="28"/>
          <w:u w:val="single"/>
        </w:rPr>
        <w:t>件电子版U盘（扫描件内容须与纸质文件一致）</w:t>
      </w:r>
      <w:r>
        <w:rPr>
          <w:rFonts w:hint="eastAsia" w:ascii="宋体" w:hAnsi="宋体"/>
          <w:b/>
          <w:sz w:val="28"/>
          <w:szCs w:val="28"/>
        </w:rPr>
        <w:t>。</w:t>
      </w:r>
    </w:p>
    <w:p w14:paraId="1879CF16">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rPr>
        <w:t>2、投</w:t>
      </w:r>
      <w:r>
        <w:rPr>
          <w:rFonts w:ascii="方正仿宋_GBK" w:hAnsi="宋体" w:eastAsia="方正仿宋_GBK"/>
          <w:color w:val="000000"/>
          <w:sz w:val="32"/>
          <w:szCs w:val="32"/>
        </w:rPr>
        <w:t>标</w:t>
      </w:r>
      <w:r>
        <w:rPr>
          <w:rFonts w:hint="eastAsia" w:ascii="方正仿宋_GBK" w:hAnsi="宋体" w:eastAsia="方正仿宋_GBK"/>
          <w:color w:val="000000"/>
          <w:sz w:val="32"/>
          <w:szCs w:val="32"/>
        </w:rPr>
        <w:t>文件应采用档案袋密封，封皮上注明“项目名称”、“投标人名称”</w:t>
      </w:r>
      <w:r>
        <w:rPr>
          <w:rFonts w:hint="eastAsia" w:ascii="方正仿宋_GBK" w:hAnsi="宋体" w:eastAsia="方正仿宋_GBK"/>
          <w:color w:val="000000"/>
          <w:sz w:val="32"/>
          <w:szCs w:val="32"/>
          <w:highlight w:val="none"/>
        </w:rPr>
        <w:t>字样，档案袋的封口应加盖公章或法人授权代表签字。</w:t>
      </w:r>
    </w:p>
    <w:p w14:paraId="18F55124">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（三）投</w:t>
      </w:r>
      <w:r>
        <w:rPr>
          <w:rFonts w:ascii="方正仿宋_GBK" w:hAnsi="宋体" w:eastAsia="方正仿宋_GBK"/>
          <w:color w:val="000000"/>
          <w:sz w:val="32"/>
          <w:szCs w:val="32"/>
          <w:highlight w:val="none"/>
        </w:rPr>
        <w:t>标</w:t>
      </w:r>
      <w:r>
        <w:rPr>
          <w:rFonts w:hint="eastAsia" w:ascii="方正仿宋_GBK" w:hAnsi="宋体" w:eastAsia="方正仿宋_GBK"/>
          <w:color w:val="000000"/>
          <w:sz w:val="32"/>
          <w:szCs w:val="32"/>
          <w:highlight w:val="none"/>
        </w:rPr>
        <w:t>保证金：</w:t>
      </w:r>
      <w:r>
        <w:rPr>
          <w:rFonts w:hint="eastAsia" w:ascii="方正仿宋_GBK" w:hAnsi="宋体" w:eastAsia="方正仿宋_GBK"/>
          <w:color w:val="000000"/>
          <w:sz w:val="32"/>
          <w:szCs w:val="32"/>
          <w:highlight w:val="none"/>
          <w:u w:val="single"/>
        </w:rPr>
        <w:t>1</w:t>
      </w:r>
      <w:r>
        <w:rPr>
          <w:rFonts w:ascii="方正仿宋_GBK" w:hAnsi="宋体" w:eastAsia="方正仿宋_GBK"/>
          <w:color w:val="000000"/>
          <w:sz w:val="32"/>
          <w:szCs w:val="32"/>
          <w:highlight w:val="none"/>
          <w:u w:val="single"/>
        </w:rPr>
        <w:t>.0</w:t>
      </w:r>
      <w:r>
        <w:rPr>
          <w:rFonts w:hint="eastAsia" w:ascii="方正仿宋_GBK" w:hAnsi="宋体" w:eastAsia="方正仿宋_GBK"/>
          <w:color w:val="000000"/>
          <w:sz w:val="32"/>
          <w:szCs w:val="32"/>
          <w:highlight w:val="none"/>
          <w:u w:val="single"/>
        </w:rPr>
        <w:t>万元</w:t>
      </w:r>
      <w:r>
        <w:rPr>
          <w:rFonts w:hint="eastAsia" w:ascii="方正仿宋_GBK" w:hAnsi="宋体" w:eastAsia="方正仿宋_GBK"/>
          <w:color w:val="000000"/>
          <w:sz w:val="32"/>
          <w:szCs w:val="32"/>
          <w:highlight w:val="none"/>
        </w:rPr>
        <w:t>，</w:t>
      </w:r>
      <w:r>
        <w:rPr>
          <w:rFonts w:hint="eastAsia" w:ascii="方正仿宋_GBK" w:eastAsia="方正仿宋_GBK"/>
          <w:sz w:val="32"/>
          <w:szCs w:val="32"/>
          <w:highlight w:val="none"/>
        </w:rPr>
        <w:t>递交报价书的同时需提供以见</w:t>
      </w:r>
      <w:r>
        <w:rPr>
          <w:rFonts w:ascii="方正仿宋_GBK" w:eastAsia="方正仿宋_GBK"/>
          <w:sz w:val="32"/>
          <w:szCs w:val="32"/>
          <w:highlight w:val="none"/>
        </w:rPr>
        <w:t>索即付不可撤销的</w:t>
      </w:r>
      <w:r>
        <w:rPr>
          <w:rFonts w:hint="eastAsia" w:ascii="方正仿宋_GBK" w:eastAsia="方正仿宋_GBK"/>
          <w:sz w:val="32"/>
          <w:szCs w:val="32"/>
          <w:highlight w:val="none"/>
        </w:rPr>
        <w:t>银行保函形式缴纳的投标保证金</w:t>
      </w:r>
      <w:r>
        <w:rPr>
          <w:rFonts w:ascii="方正仿宋_GBK" w:eastAsia="方正仿宋_GBK"/>
          <w:sz w:val="32"/>
          <w:szCs w:val="32"/>
          <w:highlight w:val="none"/>
          <w:u w:val="single"/>
        </w:rPr>
        <w:t>1.0</w:t>
      </w:r>
      <w:r>
        <w:rPr>
          <w:rFonts w:hint="eastAsia" w:ascii="方正仿宋_GBK" w:eastAsia="方正仿宋_GBK"/>
          <w:sz w:val="32"/>
          <w:szCs w:val="32"/>
          <w:highlight w:val="none"/>
          <w:u w:val="single"/>
        </w:rPr>
        <w:t>万元</w:t>
      </w:r>
      <w:r>
        <w:rPr>
          <w:rFonts w:hint="eastAsia" w:ascii="方正仿宋_GBK" w:eastAsia="方正仿宋_GBK"/>
          <w:sz w:val="32"/>
          <w:szCs w:val="32"/>
          <w:highlight w:val="none"/>
        </w:rPr>
        <w:t>至</w:t>
      </w:r>
      <w:r>
        <w:rPr>
          <w:rFonts w:hint="eastAsia" w:ascii="方正仿宋_GBK" w:eastAsia="方正仿宋_GBK"/>
          <w:snapToGrid w:val="0"/>
          <w:sz w:val="32"/>
          <w:szCs w:val="32"/>
          <w:highlight w:val="none"/>
          <w:u w:val="single"/>
        </w:rPr>
        <w:t>重庆九龙现代产业发展集团有限公司</w:t>
      </w:r>
      <w:r>
        <w:rPr>
          <w:rFonts w:hint="eastAsia" w:ascii="方正仿宋_GBK" w:eastAsia="方正仿宋_GBK"/>
          <w:sz w:val="32"/>
          <w:szCs w:val="32"/>
          <w:highlight w:val="none"/>
        </w:rPr>
        <w:t>财务部，如无法提供保函，需以银行转账形式递交投标保证金的，其缴纳的</w:t>
      </w:r>
      <w:r>
        <w:rPr>
          <w:rFonts w:ascii="方正仿宋_GBK" w:eastAsia="方正仿宋_GBK"/>
          <w:sz w:val="32"/>
          <w:szCs w:val="32"/>
          <w:highlight w:val="none"/>
        </w:rPr>
        <w:t>1.0</w:t>
      </w:r>
      <w:r>
        <w:rPr>
          <w:rFonts w:hint="eastAsia" w:ascii="方正仿宋_GBK" w:eastAsia="方正仿宋_GBK"/>
          <w:sz w:val="32"/>
          <w:szCs w:val="32"/>
          <w:highlight w:val="none"/>
        </w:rPr>
        <w:t>万元投标保证金至</w:t>
      </w:r>
      <w:r>
        <w:rPr>
          <w:rFonts w:hint="eastAsia" w:ascii="方正仿宋_GBK" w:eastAsia="方正仿宋_GBK"/>
          <w:snapToGrid w:val="0"/>
          <w:sz w:val="32"/>
          <w:szCs w:val="32"/>
          <w:highlight w:val="none"/>
          <w:u w:val="single"/>
        </w:rPr>
        <w:t>重庆九龙现代产业发展集团有限公司</w:t>
      </w:r>
      <w:r>
        <w:rPr>
          <w:rFonts w:hint="eastAsia" w:ascii="方正仿宋_GBK" w:eastAsia="方正仿宋_GBK"/>
          <w:sz w:val="32"/>
          <w:szCs w:val="32"/>
          <w:highlight w:val="none"/>
        </w:rPr>
        <w:t>财务部，必须由投标人的公司基本账户转出。以上投标保证金递交保函或银行转账时均需注明</w:t>
      </w:r>
      <w:r>
        <w:rPr>
          <w:rFonts w:hint="eastAsia" w:ascii="方正仿宋_GBK" w:eastAsia="方正仿宋_GBK"/>
          <w:sz w:val="32"/>
          <w:szCs w:val="32"/>
          <w:highlight w:val="none"/>
          <w:u w:val="single"/>
        </w:rPr>
        <w:t>“</w:t>
      </w:r>
      <w:r>
        <w:rPr>
          <w:rFonts w:hint="eastAsia" w:ascii="方正仿宋_GBK" w:hAnsi="宋体" w:eastAsia="方正仿宋_GBK"/>
          <w:color w:val="000000"/>
          <w:sz w:val="32"/>
          <w:szCs w:val="32"/>
          <w:highlight w:val="none"/>
          <w:u w:val="single"/>
        </w:rPr>
        <w:t>九龙新城康养项目设计</w:t>
      </w:r>
      <w:r>
        <w:rPr>
          <w:rFonts w:hint="eastAsia" w:ascii="方正仿宋_GBK" w:eastAsia="方正仿宋_GBK" w:cs="MingLiU"/>
          <w:snapToGrid w:val="0"/>
          <w:sz w:val="32"/>
          <w:szCs w:val="32"/>
          <w:highlight w:val="none"/>
          <w:u w:val="single"/>
        </w:rPr>
        <w:t>投</w:t>
      </w:r>
      <w:r>
        <w:rPr>
          <w:rFonts w:ascii="方正仿宋_GBK" w:eastAsia="方正仿宋_GBK" w:cs="MingLiU"/>
          <w:snapToGrid w:val="0"/>
          <w:sz w:val="32"/>
          <w:szCs w:val="32"/>
          <w:highlight w:val="none"/>
          <w:u w:val="single"/>
        </w:rPr>
        <w:t>标保证金</w:t>
      </w:r>
      <w:r>
        <w:rPr>
          <w:rFonts w:hint="eastAsia" w:ascii="方正仿宋_GBK" w:eastAsia="方正仿宋_GBK"/>
          <w:sz w:val="32"/>
          <w:szCs w:val="32"/>
          <w:highlight w:val="none"/>
          <w:u w:val="single"/>
        </w:rPr>
        <w:t>”，</w:t>
      </w:r>
      <w:r>
        <w:rPr>
          <w:rFonts w:hint="eastAsia" w:ascii="方正仿宋_GBK" w:eastAsia="方正仿宋_GBK"/>
          <w:sz w:val="32"/>
          <w:szCs w:val="32"/>
          <w:highlight w:val="none"/>
        </w:rPr>
        <w:t>否则当场退还投标文件。确定服务单位后，未中标的单位投标保证金7日内全部退还，</w:t>
      </w:r>
      <w:r>
        <w:rPr>
          <w:rFonts w:hint="eastAsia" w:ascii="方正仿宋_GBK" w:eastAsia="方正仿宋_GBK"/>
          <w:snapToGrid w:val="0"/>
          <w:sz w:val="32"/>
          <w:szCs w:val="32"/>
          <w:highlight w:val="none"/>
        </w:rPr>
        <w:t>中标单位在签订合同后5日</w:t>
      </w:r>
      <w:r>
        <w:rPr>
          <w:rFonts w:ascii="方正仿宋_GBK" w:eastAsia="方正仿宋_GBK"/>
          <w:snapToGrid w:val="0"/>
          <w:sz w:val="32"/>
          <w:szCs w:val="32"/>
          <w:highlight w:val="none"/>
        </w:rPr>
        <w:t>内退还</w:t>
      </w:r>
      <w:r>
        <w:rPr>
          <w:rFonts w:hint="eastAsia" w:ascii="方正仿宋_GBK" w:eastAsia="方正仿宋_GBK"/>
          <w:snapToGrid w:val="0"/>
          <w:sz w:val="32"/>
          <w:szCs w:val="32"/>
          <w:highlight w:val="none"/>
        </w:rPr>
        <w:t>，均</w:t>
      </w:r>
      <w:r>
        <w:rPr>
          <w:rFonts w:ascii="方正仿宋_GBK" w:eastAsia="方正仿宋_GBK"/>
          <w:snapToGrid w:val="0"/>
          <w:sz w:val="32"/>
          <w:szCs w:val="32"/>
          <w:highlight w:val="none"/>
        </w:rPr>
        <w:t>不计息</w:t>
      </w:r>
      <w:r>
        <w:rPr>
          <w:rFonts w:hint="eastAsia" w:ascii="方正仿宋_GBK" w:hAnsi="宋体" w:eastAsia="方正仿宋_GBK"/>
          <w:color w:val="000000"/>
          <w:sz w:val="32"/>
          <w:szCs w:val="32"/>
          <w:highlight w:val="none"/>
        </w:rPr>
        <w:t>（收款单位：重庆九龙现代产业发展集团有限公司；开户行：建行重庆九龙坡铝城支行；账号</w:t>
      </w:r>
      <w:r>
        <w:rPr>
          <w:rFonts w:ascii="方正仿宋_GBK" w:hAnsi="宋体" w:eastAsia="方正仿宋_GBK"/>
          <w:color w:val="000000"/>
          <w:sz w:val="32"/>
          <w:szCs w:val="32"/>
          <w:highlight w:val="none"/>
        </w:rPr>
        <w:t>50001037600052500629</w:t>
      </w:r>
      <w:r>
        <w:rPr>
          <w:rFonts w:hint="eastAsia" w:ascii="方正仿宋_GBK" w:hAnsi="宋体" w:eastAsia="方正仿宋_GBK"/>
          <w:color w:val="000000"/>
          <w:sz w:val="32"/>
          <w:szCs w:val="32"/>
          <w:highlight w:val="none"/>
        </w:rPr>
        <w:t>）。</w:t>
      </w:r>
    </w:p>
    <w:p w14:paraId="10805559">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（四）投</w:t>
      </w:r>
      <w:r>
        <w:rPr>
          <w:rFonts w:ascii="方正仿宋_GBK" w:hAnsi="宋体" w:eastAsia="方正仿宋_GBK"/>
          <w:color w:val="000000"/>
          <w:sz w:val="32"/>
          <w:szCs w:val="32"/>
          <w:highlight w:val="none"/>
        </w:rPr>
        <w:t>标</w:t>
      </w:r>
      <w:r>
        <w:rPr>
          <w:rFonts w:hint="eastAsia" w:ascii="方正仿宋_GBK" w:hAnsi="宋体" w:eastAsia="方正仿宋_GBK"/>
          <w:color w:val="000000"/>
          <w:sz w:val="32"/>
          <w:szCs w:val="32"/>
          <w:highlight w:val="none"/>
        </w:rPr>
        <w:t>文件的递交</w:t>
      </w:r>
    </w:p>
    <w:p w14:paraId="1B097D8C">
      <w:pPr>
        <w:spacing w:line="580" w:lineRule="exact"/>
        <w:ind w:firstLine="640" w:firstLineChars="200"/>
        <w:rPr>
          <w:rFonts w:ascii="宋体" w:hAnsi="宋体"/>
          <w:sz w:val="28"/>
          <w:szCs w:val="28"/>
          <w:highlight w:val="none"/>
        </w:rPr>
      </w:pPr>
      <w:r>
        <w:rPr>
          <w:rFonts w:hint="eastAsia" w:ascii="方正仿宋_GBK" w:hAnsi="宋体" w:eastAsia="方正仿宋_GBK"/>
          <w:color w:val="000000"/>
          <w:sz w:val="32"/>
          <w:szCs w:val="32"/>
          <w:highlight w:val="none"/>
        </w:rPr>
        <w:t>1、投标文件的递交时间：详见公告</w:t>
      </w:r>
      <w:r>
        <w:rPr>
          <w:rFonts w:ascii="宋体" w:hAnsi="宋体"/>
          <w:sz w:val="28"/>
          <w:szCs w:val="28"/>
          <w:highlight w:val="none"/>
        </w:rPr>
        <w:t>。</w:t>
      </w:r>
    </w:p>
    <w:p w14:paraId="6C9CC501">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2</w:t>
      </w:r>
      <w:r>
        <w:rPr>
          <w:rFonts w:hint="eastAsia" w:ascii="方正仿宋_GBK" w:hAnsi="宋体" w:eastAsia="方正仿宋_GBK"/>
          <w:color w:val="000000"/>
          <w:sz w:val="32"/>
          <w:szCs w:val="32"/>
          <w:highlight w:val="none"/>
        </w:rPr>
        <w:t>、递交地点</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重庆九龙现代产业发展集团有限公司招标采购部（207室）。</w:t>
      </w:r>
    </w:p>
    <w:p w14:paraId="6DB5C093">
      <w:pPr>
        <w:spacing w:line="580" w:lineRule="exact"/>
        <w:ind w:firstLine="640" w:firstLineChars="200"/>
        <w:rPr>
          <w:rFonts w:ascii="宋体" w:hAnsi="宋体"/>
          <w:sz w:val="28"/>
          <w:szCs w:val="28"/>
          <w:highlight w:val="none"/>
        </w:rPr>
      </w:pPr>
      <w:r>
        <w:rPr>
          <w:rFonts w:hint="eastAsia" w:ascii="方正仿宋_GBK" w:hAnsi="宋体" w:eastAsia="方正仿宋_GBK"/>
          <w:color w:val="000000"/>
          <w:sz w:val="32"/>
          <w:szCs w:val="32"/>
          <w:highlight w:val="none"/>
        </w:rPr>
        <w:t>3、投标截止时间：详见公告。</w:t>
      </w:r>
    </w:p>
    <w:p w14:paraId="336A20CA">
      <w:pPr>
        <w:spacing w:line="580" w:lineRule="exact"/>
        <w:ind w:firstLine="1132" w:firstLineChars="354"/>
        <w:rPr>
          <w:rFonts w:ascii="宋体" w:hAnsi="宋体"/>
          <w:sz w:val="28"/>
          <w:szCs w:val="28"/>
          <w:highlight w:val="none"/>
        </w:rPr>
      </w:pPr>
      <w:r>
        <w:rPr>
          <w:rFonts w:hint="eastAsia" w:ascii="方正仿宋_GBK" w:hAnsi="宋体" w:eastAsia="方正仿宋_GBK"/>
          <w:color w:val="000000"/>
          <w:sz w:val="32"/>
          <w:szCs w:val="32"/>
          <w:highlight w:val="none"/>
        </w:rPr>
        <w:t>开标时间：同截止时间。</w:t>
      </w:r>
    </w:p>
    <w:p w14:paraId="1251790D">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4</w:t>
      </w:r>
      <w:r>
        <w:rPr>
          <w:rFonts w:hint="eastAsia" w:ascii="方正仿宋_GBK" w:hAnsi="宋体" w:eastAsia="方正仿宋_GBK"/>
          <w:color w:val="000000"/>
          <w:sz w:val="32"/>
          <w:szCs w:val="32"/>
          <w:highlight w:val="none"/>
        </w:rPr>
        <w:t>、投标截止时间后送达的投标文件招标人不予受理；未收到邀请的投标文件招标人不予接受。</w:t>
      </w:r>
    </w:p>
    <w:p w14:paraId="6333242B">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（五）比选参与人员</w:t>
      </w:r>
    </w:p>
    <w:p w14:paraId="2F2D6577">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各个投标人应当派1-</w:t>
      </w:r>
      <w:r>
        <w:rPr>
          <w:rFonts w:ascii="方正仿宋_GBK" w:hAnsi="宋体" w:eastAsia="方正仿宋_GBK"/>
          <w:color w:val="000000"/>
          <w:sz w:val="32"/>
          <w:szCs w:val="32"/>
          <w:highlight w:val="none"/>
        </w:rPr>
        <w:t>2</w:t>
      </w:r>
      <w:r>
        <w:rPr>
          <w:rFonts w:hint="eastAsia" w:ascii="方正仿宋_GBK" w:hAnsi="宋体" w:eastAsia="方正仿宋_GBK"/>
          <w:color w:val="000000"/>
          <w:sz w:val="32"/>
          <w:szCs w:val="32"/>
          <w:highlight w:val="none"/>
        </w:rPr>
        <w:t>名代表参与，至少1人应为法定代表人或具有法定代表人授权委托书的授权代表。</w:t>
      </w:r>
    </w:p>
    <w:p w14:paraId="753C6785">
      <w:pPr>
        <w:spacing w:line="580" w:lineRule="exact"/>
        <w:rPr>
          <w:rFonts w:ascii="宋体" w:hAnsi="宋体"/>
          <w:b/>
          <w:sz w:val="28"/>
          <w:szCs w:val="28"/>
          <w:highlight w:val="none"/>
        </w:rPr>
      </w:pPr>
      <w:r>
        <w:rPr>
          <w:rFonts w:hint="eastAsia" w:ascii="宋体" w:hAnsi="宋体"/>
          <w:b/>
          <w:sz w:val="28"/>
          <w:szCs w:val="28"/>
          <w:highlight w:val="none"/>
        </w:rPr>
        <w:t>八</w:t>
      </w:r>
      <w:r>
        <w:rPr>
          <w:rFonts w:ascii="宋体" w:hAnsi="宋体"/>
          <w:b/>
          <w:sz w:val="28"/>
          <w:szCs w:val="28"/>
          <w:highlight w:val="none"/>
        </w:rPr>
        <w:t>、</w:t>
      </w:r>
      <w:r>
        <w:rPr>
          <w:rFonts w:hint="eastAsia" w:ascii="宋体" w:hAnsi="宋体"/>
          <w:b/>
          <w:sz w:val="28"/>
          <w:szCs w:val="28"/>
          <w:highlight w:val="none"/>
        </w:rPr>
        <w:t>比选</w:t>
      </w:r>
      <w:r>
        <w:rPr>
          <w:rFonts w:ascii="宋体" w:hAnsi="宋体"/>
          <w:b/>
          <w:sz w:val="28"/>
          <w:szCs w:val="28"/>
          <w:highlight w:val="none"/>
        </w:rPr>
        <w:t>程序及方法</w:t>
      </w:r>
    </w:p>
    <w:p w14:paraId="4949976E">
      <w:pPr>
        <w:spacing w:line="560" w:lineRule="exact"/>
        <w:ind w:firstLine="640" w:firstLineChars="200"/>
        <w:rPr>
          <w:rFonts w:eastAsia="方正楷体_GBK"/>
          <w:bCs/>
          <w:snapToGrid w:val="0"/>
          <w:sz w:val="32"/>
          <w:szCs w:val="32"/>
          <w:highlight w:val="none"/>
        </w:rPr>
      </w:pPr>
      <w:r>
        <w:rPr>
          <w:rFonts w:eastAsia="方正楷体_GBK"/>
          <w:bCs/>
          <w:snapToGrid w:val="0"/>
          <w:sz w:val="32"/>
          <w:szCs w:val="32"/>
          <w:highlight w:val="none"/>
        </w:rPr>
        <w:t>（</w:t>
      </w:r>
      <w:r>
        <w:rPr>
          <w:rFonts w:hint="eastAsia" w:eastAsia="方正楷体_GBK"/>
          <w:bCs/>
          <w:snapToGrid w:val="0"/>
          <w:sz w:val="32"/>
          <w:szCs w:val="32"/>
          <w:highlight w:val="none"/>
        </w:rPr>
        <w:t>一</w:t>
      </w:r>
      <w:r>
        <w:rPr>
          <w:rFonts w:eastAsia="方正楷体_GBK"/>
          <w:bCs/>
          <w:snapToGrid w:val="0"/>
          <w:sz w:val="32"/>
          <w:szCs w:val="32"/>
          <w:highlight w:val="none"/>
        </w:rPr>
        <w:t>）评标办法</w:t>
      </w:r>
    </w:p>
    <w:p w14:paraId="43B88271">
      <w:pPr>
        <w:spacing w:line="560" w:lineRule="exact"/>
        <w:ind w:firstLine="643" w:firstLineChars="200"/>
        <w:rPr>
          <w:rFonts w:eastAsia="方正仿宋_GBK"/>
          <w:b/>
          <w:bCs/>
          <w:snapToGrid w:val="0"/>
          <w:sz w:val="32"/>
          <w:szCs w:val="32"/>
          <w:highlight w:val="none"/>
        </w:rPr>
      </w:pPr>
      <w:r>
        <w:rPr>
          <w:rFonts w:eastAsia="方正仿宋_GBK"/>
          <w:b/>
          <w:bCs/>
          <w:snapToGrid w:val="0"/>
          <w:sz w:val="32"/>
          <w:szCs w:val="32"/>
          <w:highlight w:val="none"/>
          <w:u w:val="single"/>
        </w:rPr>
        <w:t>本工程采用经评审的</w:t>
      </w:r>
      <w:r>
        <w:rPr>
          <w:rFonts w:hint="eastAsia" w:eastAsia="方正仿宋_GBK"/>
          <w:b/>
          <w:bCs/>
          <w:snapToGrid w:val="0"/>
          <w:sz w:val="32"/>
          <w:szCs w:val="32"/>
          <w:highlight w:val="none"/>
          <w:u w:val="single"/>
        </w:rPr>
        <w:t>最低价</w:t>
      </w:r>
      <w:r>
        <w:rPr>
          <w:rFonts w:eastAsia="方正仿宋_GBK"/>
          <w:b/>
          <w:bCs/>
          <w:snapToGrid w:val="0"/>
          <w:sz w:val="32"/>
          <w:szCs w:val="32"/>
          <w:highlight w:val="none"/>
          <w:u w:val="single"/>
        </w:rPr>
        <w:t>法</w:t>
      </w:r>
      <w:r>
        <w:rPr>
          <w:rFonts w:eastAsia="方正仿宋_GBK"/>
          <w:b/>
          <w:bCs/>
          <w:snapToGrid w:val="0"/>
          <w:sz w:val="32"/>
          <w:szCs w:val="32"/>
          <w:highlight w:val="none"/>
        </w:rPr>
        <w:t>。</w:t>
      </w:r>
    </w:p>
    <w:p w14:paraId="7A1F4973">
      <w:pPr>
        <w:spacing w:line="560" w:lineRule="exact"/>
        <w:ind w:firstLine="640" w:firstLineChars="200"/>
        <w:rPr>
          <w:rFonts w:eastAsia="方正楷体_GBK"/>
          <w:bCs/>
          <w:snapToGrid w:val="0"/>
          <w:sz w:val="32"/>
          <w:szCs w:val="32"/>
          <w:highlight w:val="none"/>
        </w:rPr>
      </w:pPr>
      <w:r>
        <w:rPr>
          <w:rFonts w:eastAsia="方正楷体_GBK"/>
          <w:bCs/>
          <w:snapToGrid w:val="0"/>
          <w:sz w:val="32"/>
          <w:szCs w:val="32"/>
          <w:highlight w:val="none"/>
        </w:rPr>
        <w:t>（二）比选程序</w:t>
      </w:r>
    </w:p>
    <w:p w14:paraId="7C216DB8">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w:t>
      </w:r>
      <w:r>
        <w:rPr>
          <w:rFonts w:ascii="方正仿宋_GBK" w:hAnsi="宋体" w:eastAsia="方正仿宋_GBK"/>
          <w:color w:val="000000"/>
          <w:sz w:val="32"/>
          <w:szCs w:val="32"/>
          <w:highlight w:val="none"/>
        </w:rPr>
        <w:t>收到</w:t>
      </w:r>
      <w:r>
        <w:rPr>
          <w:rFonts w:hint="eastAsia" w:ascii="方正仿宋_GBK" w:hAnsi="宋体" w:eastAsia="方正仿宋_GBK"/>
          <w:color w:val="000000"/>
          <w:sz w:val="32"/>
          <w:szCs w:val="32"/>
          <w:highlight w:val="none"/>
        </w:rPr>
        <w:t>谈判</w:t>
      </w:r>
      <w:r>
        <w:rPr>
          <w:rFonts w:ascii="方正仿宋_GBK" w:hAnsi="宋体" w:eastAsia="方正仿宋_GBK"/>
          <w:color w:val="000000"/>
          <w:sz w:val="32"/>
          <w:szCs w:val="32"/>
          <w:highlight w:val="none"/>
        </w:rPr>
        <w:t>邀请</w:t>
      </w:r>
      <w:r>
        <w:rPr>
          <w:rFonts w:hint="eastAsia" w:ascii="方正仿宋_GBK" w:hAnsi="宋体" w:eastAsia="方正仿宋_GBK"/>
          <w:color w:val="000000"/>
          <w:sz w:val="32"/>
          <w:szCs w:val="32"/>
          <w:highlight w:val="none"/>
        </w:rPr>
        <w:t>的投标</w:t>
      </w:r>
      <w:r>
        <w:rPr>
          <w:rFonts w:ascii="方正仿宋_GBK" w:hAnsi="宋体" w:eastAsia="方正仿宋_GBK"/>
          <w:color w:val="000000"/>
          <w:sz w:val="32"/>
          <w:szCs w:val="32"/>
          <w:highlight w:val="none"/>
        </w:rPr>
        <w:t>人按</w:t>
      </w:r>
      <w:r>
        <w:rPr>
          <w:rFonts w:hint="eastAsia" w:ascii="方正仿宋_GBK" w:hAnsi="宋体" w:eastAsia="方正仿宋_GBK"/>
          <w:color w:val="000000"/>
          <w:sz w:val="32"/>
          <w:szCs w:val="32"/>
          <w:highlight w:val="none"/>
        </w:rPr>
        <w:t>邀请书规定的时间和地点参加</w:t>
      </w:r>
      <w:r>
        <w:rPr>
          <w:rFonts w:ascii="方正仿宋_GBK" w:hAnsi="宋体" w:eastAsia="方正仿宋_GBK"/>
          <w:color w:val="000000"/>
          <w:sz w:val="32"/>
          <w:szCs w:val="32"/>
          <w:highlight w:val="none"/>
        </w:rPr>
        <w:t>比</w:t>
      </w:r>
      <w:r>
        <w:rPr>
          <w:rFonts w:hint="eastAsia" w:ascii="方正仿宋_GBK" w:hAnsi="宋体" w:eastAsia="方正仿宋_GBK"/>
          <w:color w:val="000000"/>
          <w:sz w:val="32"/>
          <w:szCs w:val="32"/>
          <w:highlight w:val="none"/>
        </w:rPr>
        <w:t>选，且须有法定代表人或其授权代表参加并签到，否</w:t>
      </w:r>
      <w:r>
        <w:rPr>
          <w:rFonts w:ascii="方正仿宋_GBK" w:hAnsi="宋体" w:eastAsia="方正仿宋_GBK"/>
          <w:color w:val="000000"/>
          <w:sz w:val="32"/>
          <w:szCs w:val="32"/>
          <w:highlight w:val="none"/>
        </w:rPr>
        <w:t>则</w:t>
      </w:r>
      <w:r>
        <w:rPr>
          <w:rFonts w:hint="eastAsia" w:ascii="方正仿宋_GBK" w:hAnsi="宋体" w:eastAsia="方正仿宋_GBK"/>
          <w:color w:val="000000"/>
          <w:sz w:val="32"/>
          <w:szCs w:val="32"/>
          <w:highlight w:val="none"/>
        </w:rPr>
        <w:t>其投</w:t>
      </w:r>
      <w:r>
        <w:rPr>
          <w:rFonts w:ascii="方正仿宋_GBK" w:hAnsi="宋体" w:eastAsia="方正仿宋_GBK"/>
          <w:color w:val="000000"/>
          <w:sz w:val="32"/>
          <w:szCs w:val="32"/>
          <w:highlight w:val="none"/>
        </w:rPr>
        <w:t>标文件</w:t>
      </w:r>
      <w:r>
        <w:rPr>
          <w:rFonts w:hint="eastAsia" w:ascii="方正仿宋_GBK" w:hAnsi="宋体" w:eastAsia="方正仿宋_GBK"/>
          <w:color w:val="000000"/>
          <w:sz w:val="32"/>
          <w:szCs w:val="32"/>
          <w:highlight w:val="none"/>
        </w:rPr>
        <w:t>不</w:t>
      </w:r>
      <w:r>
        <w:rPr>
          <w:rFonts w:ascii="方正仿宋_GBK" w:hAnsi="宋体" w:eastAsia="方正仿宋_GBK"/>
          <w:color w:val="000000"/>
          <w:sz w:val="32"/>
          <w:szCs w:val="32"/>
          <w:highlight w:val="none"/>
        </w:rPr>
        <w:t>得参与比</w:t>
      </w:r>
      <w:r>
        <w:rPr>
          <w:rFonts w:hint="eastAsia" w:ascii="方正仿宋_GBK" w:hAnsi="宋体" w:eastAsia="方正仿宋_GBK"/>
          <w:color w:val="000000"/>
          <w:sz w:val="32"/>
          <w:szCs w:val="32"/>
          <w:highlight w:val="none"/>
        </w:rPr>
        <w:t>选</w:t>
      </w:r>
      <w:r>
        <w:rPr>
          <w:rFonts w:ascii="方正仿宋_GBK" w:hAnsi="宋体" w:eastAsia="方正仿宋_GBK"/>
          <w:color w:val="000000"/>
          <w:sz w:val="32"/>
          <w:szCs w:val="32"/>
          <w:highlight w:val="none"/>
        </w:rPr>
        <w:t>。</w:t>
      </w:r>
    </w:p>
    <w:p w14:paraId="2F87EB41">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评标小组</w:t>
      </w:r>
      <w:r>
        <w:rPr>
          <w:rFonts w:ascii="方正仿宋_GBK" w:hAnsi="宋体" w:eastAsia="方正仿宋_GBK"/>
          <w:color w:val="000000"/>
          <w:sz w:val="32"/>
          <w:szCs w:val="32"/>
          <w:highlight w:val="none"/>
        </w:rPr>
        <w:t>对所有</w:t>
      </w:r>
      <w:r>
        <w:rPr>
          <w:rFonts w:hint="eastAsia" w:ascii="方正仿宋_GBK" w:hAnsi="宋体" w:eastAsia="方正仿宋_GBK"/>
          <w:color w:val="000000"/>
          <w:sz w:val="32"/>
          <w:szCs w:val="32"/>
          <w:highlight w:val="none"/>
        </w:rPr>
        <w:t>投</w:t>
      </w:r>
      <w:r>
        <w:rPr>
          <w:rFonts w:ascii="方正仿宋_GBK" w:hAnsi="宋体" w:eastAsia="方正仿宋_GBK"/>
          <w:color w:val="000000"/>
          <w:sz w:val="32"/>
          <w:szCs w:val="32"/>
          <w:highlight w:val="none"/>
        </w:rPr>
        <w:t>标人投标总报价进行</w:t>
      </w:r>
      <w:r>
        <w:rPr>
          <w:rFonts w:hint="eastAsia" w:ascii="方正仿宋_GBK" w:hAnsi="宋体" w:eastAsia="方正仿宋_GBK"/>
          <w:color w:val="000000"/>
          <w:sz w:val="32"/>
          <w:szCs w:val="32"/>
          <w:highlight w:val="none"/>
        </w:rPr>
        <w:t>评审</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对</w:t>
      </w:r>
      <w:r>
        <w:rPr>
          <w:rFonts w:ascii="方正仿宋_GBK" w:hAnsi="宋体" w:eastAsia="方正仿宋_GBK"/>
          <w:color w:val="000000"/>
          <w:sz w:val="32"/>
          <w:szCs w:val="32"/>
          <w:highlight w:val="none"/>
        </w:rPr>
        <w:t>总报价高于最高限价的按</w:t>
      </w:r>
      <w:r>
        <w:rPr>
          <w:rFonts w:hint="eastAsia" w:ascii="方正仿宋_GBK" w:hAnsi="宋体" w:eastAsia="方正仿宋_GBK"/>
          <w:color w:val="000000"/>
          <w:sz w:val="32"/>
          <w:szCs w:val="32"/>
          <w:highlight w:val="none"/>
        </w:rPr>
        <w:t>否决投</w:t>
      </w:r>
      <w:r>
        <w:rPr>
          <w:rFonts w:ascii="方正仿宋_GBK" w:hAnsi="宋体" w:eastAsia="方正仿宋_GBK"/>
          <w:color w:val="000000"/>
          <w:sz w:val="32"/>
          <w:szCs w:val="32"/>
          <w:highlight w:val="none"/>
        </w:rPr>
        <w:t>标处理后，</w:t>
      </w:r>
      <w:r>
        <w:rPr>
          <w:rFonts w:hint="eastAsia" w:ascii="方正仿宋_GBK" w:hAnsi="宋体" w:eastAsia="方正仿宋_GBK"/>
          <w:color w:val="000000"/>
          <w:sz w:val="32"/>
          <w:szCs w:val="32"/>
          <w:highlight w:val="none"/>
        </w:rPr>
        <w:t>低</w:t>
      </w:r>
      <w:r>
        <w:rPr>
          <w:rFonts w:ascii="方正仿宋_GBK" w:hAnsi="宋体" w:eastAsia="方正仿宋_GBK"/>
          <w:color w:val="000000"/>
          <w:sz w:val="32"/>
          <w:szCs w:val="32"/>
          <w:highlight w:val="none"/>
        </w:rPr>
        <w:t>于最高限价的按</w:t>
      </w:r>
      <w:r>
        <w:rPr>
          <w:rFonts w:hint="eastAsia" w:ascii="方正仿宋_GBK" w:hAnsi="宋体" w:eastAsia="方正仿宋_GBK"/>
          <w:color w:val="000000"/>
          <w:sz w:val="32"/>
          <w:szCs w:val="32"/>
          <w:highlight w:val="none"/>
        </w:rPr>
        <w:t>报</w:t>
      </w:r>
      <w:r>
        <w:rPr>
          <w:rFonts w:ascii="方正仿宋_GBK" w:hAnsi="宋体" w:eastAsia="方正仿宋_GBK"/>
          <w:color w:val="000000"/>
          <w:sz w:val="32"/>
          <w:szCs w:val="32"/>
          <w:highlight w:val="none"/>
        </w:rPr>
        <w:t>价由</w:t>
      </w:r>
      <w:r>
        <w:rPr>
          <w:rFonts w:hint="eastAsia" w:ascii="方正仿宋_GBK" w:hAnsi="宋体" w:eastAsia="方正仿宋_GBK"/>
          <w:color w:val="000000"/>
          <w:sz w:val="32"/>
          <w:szCs w:val="32"/>
          <w:highlight w:val="none"/>
        </w:rPr>
        <w:t>低</w:t>
      </w:r>
      <w:r>
        <w:rPr>
          <w:rFonts w:ascii="方正仿宋_GBK" w:hAnsi="宋体" w:eastAsia="方正仿宋_GBK"/>
          <w:color w:val="000000"/>
          <w:sz w:val="32"/>
          <w:szCs w:val="32"/>
          <w:highlight w:val="none"/>
        </w:rPr>
        <w:t>到</w:t>
      </w:r>
      <w:r>
        <w:rPr>
          <w:rFonts w:hint="eastAsia" w:ascii="方正仿宋_GBK" w:hAnsi="宋体" w:eastAsia="方正仿宋_GBK"/>
          <w:color w:val="000000"/>
          <w:sz w:val="32"/>
          <w:szCs w:val="32"/>
          <w:highlight w:val="none"/>
        </w:rPr>
        <w:t>高</w:t>
      </w:r>
      <w:r>
        <w:rPr>
          <w:rFonts w:ascii="方正仿宋_GBK" w:hAnsi="宋体" w:eastAsia="方正仿宋_GBK"/>
          <w:color w:val="000000"/>
          <w:sz w:val="32"/>
          <w:szCs w:val="32"/>
          <w:highlight w:val="none"/>
        </w:rPr>
        <w:t>的顺序进行</w:t>
      </w:r>
      <w:r>
        <w:rPr>
          <w:rFonts w:hint="eastAsia" w:ascii="方正仿宋_GBK" w:hAnsi="宋体" w:eastAsia="方正仿宋_GBK"/>
          <w:color w:val="000000"/>
          <w:sz w:val="32"/>
          <w:szCs w:val="32"/>
          <w:highlight w:val="none"/>
        </w:rPr>
        <w:t>排</w:t>
      </w:r>
      <w:r>
        <w:rPr>
          <w:rFonts w:ascii="方正仿宋_GBK" w:hAnsi="宋体" w:eastAsia="方正仿宋_GBK"/>
          <w:color w:val="000000"/>
          <w:sz w:val="32"/>
          <w:szCs w:val="32"/>
          <w:highlight w:val="none"/>
        </w:rPr>
        <w:t>序</w:t>
      </w:r>
      <w:r>
        <w:rPr>
          <w:rFonts w:hint="eastAsia" w:ascii="方正仿宋_GBK" w:hAnsi="宋体" w:eastAsia="方正仿宋_GBK"/>
          <w:color w:val="000000"/>
          <w:sz w:val="32"/>
          <w:szCs w:val="32"/>
          <w:highlight w:val="none"/>
        </w:rPr>
        <w:t>。</w:t>
      </w:r>
    </w:p>
    <w:p w14:paraId="22189F0F">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（3</w:t>
      </w:r>
      <w:r>
        <w:rPr>
          <w:rFonts w:ascii="方正仿宋_GBK" w:hAnsi="宋体" w:eastAsia="方正仿宋_GBK"/>
          <w:color w:val="000000"/>
          <w:sz w:val="32"/>
          <w:szCs w:val="32"/>
          <w:highlight w:val="none"/>
        </w:rPr>
        <w:t>）</w:t>
      </w:r>
      <w:r>
        <w:rPr>
          <w:rFonts w:hint="eastAsia" w:ascii="方正仿宋_GBK" w:hAnsi="宋体" w:eastAsia="方正仿宋_GBK"/>
          <w:color w:val="000000"/>
          <w:sz w:val="32"/>
          <w:szCs w:val="32"/>
          <w:highlight w:val="none"/>
        </w:rPr>
        <w:t>评标小组对报价排名前三位的投标人的资格条件进行符合性审查，对其投标文件的有效性、完整性和响应程度进行审查。如前三名投投人符合性审查均合格，评标小组按报价由低到高推荐中标候选人，排名前三名的投标人若有一家符合性审查不合格，评标小组将有效报价排名第四名的投标人投标文件纳入符合性审查，以此类推。</w:t>
      </w:r>
    </w:p>
    <w:p w14:paraId="15CA3763">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（4）若在投标过程中出现排名第一的中标候选人有两家投标人及以上相同报价的情况，则由相同报价的投标单位在现场进行二次报价或多次报价（暗标报价），直至报价有区别为止。</w:t>
      </w:r>
    </w:p>
    <w:p w14:paraId="4C6D90B5">
      <w:pPr>
        <w:spacing w:line="580" w:lineRule="exact"/>
        <w:rPr>
          <w:rFonts w:ascii="宋体" w:hAnsi="宋体"/>
          <w:b/>
          <w:sz w:val="28"/>
          <w:szCs w:val="28"/>
          <w:highlight w:val="none"/>
        </w:rPr>
      </w:pPr>
      <w:r>
        <w:rPr>
          <w:rFonts w:hint="eastAsia" w:ascii="宋体" w:hAnsi="宋体"/>
          <w:b/>
          <w:sz w:val="28"/>
          <w:szCs w:val="28"/>
          <w:highlight w:val="none"/>
        </w:rPr>
        <w:t>九、比选中标人的确认</w:t>
      </w:r>
    </w:p>
    <w:p w14:paraId="4AEA4458">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评审小组本着公开、公正、公平的原则，</w:t>
      </w:r>
      <w:r>
        <w:rPr>
          <w:rFonts w:ascii="方正仿宋_GBK" w:hAnsi="宋体" w:eastAsia="方正仿宋_GBK"/>
          <w:color w:val="000000"/>
          <w:sz w:val="32"/>
          <w:szCs w:val="32"/>
          <w:highlight w:val="none"/>
        </w:rPr>
        <w:t>在</w:t>
      </w:r>
      <w:r>
        <w:rPr>
          <w:rFonts w:hint="eastAsia" w:ascii="方正仿宋_GBK" w:hAnsi="宋体" w:eastAsia="方正仿宋_GBK"/>
          <w:color w:val="000000"/>
          <w:sz w:val="32"/>
          <w:szCs w:val="32"/>
          <w:highlight w:val="none"/>
        </w:rPr>
        <w:t>按照比选标准比选</w:t>
      </w:r>
      <w:r>
        <w:rPr>
          <w:rFonts w:ascii="方正仿宋_GBK" w:hAnsi="宋体" w:eastAsia="方正仿宋_GBK"/>
          <w:color w:val="000000"/>
          <w:sz w:val="32"/>
          <w:szCs w:val="32"/>
          <w:highlight w:val="none"/>
        </w:rPr>
        <w:t>结束后</w:t>
      </w:r>
      <w:r>
        <w:rPr>
          <w:rFonts w:hint="eastAsia" w:ascii="方正仿宋_GBK" w:hAnsi="宋体" w:eastAsia="方正仿宋_GBK"/>
          <w:color w:val="000000"/>
          <w:sz w:val="32"/>
          <w:szCs w:val="32"/>
          <w:highlight w:val="none"/>
        </w:rPr>
        <w:t>，比选</w:t>
      </w:r>
      <w:r>
        <w:rPr>
          <w:rFonts w:ascii="方正仿宋_GBK" w:hAnsi="宋体" w:eastAsia="方正仿宋_GBK"/>
          <w:color w:val="000000"/>
          <w:sz w:val="32"/>
          <w:szCs w:val="32"/>
          <w:highlight w:val="none"/>
        </w:rPr>
        <w:t>结果在</w:t>
      </w:r>
      <w:r>
        <w:rPr>
          <w:rFonts w:hint="eastAsia" w:ascii="方正仿宋_GBK" w:hAnsi="宋体" w:eastAsia="方正仿宋_GBK"/>
          <w:color w:val="000000"/>
          <w:sz w:val="32"/>
          <w:szCs w:val="32"/>
          <w:highlight w:val="none"/>
        </w:rPr>
        <w:t>九龙现代产业发展集团网站（http:// www.cqxpgyy.com）</w:t>
      </w:r>
      <w:r>
        <w:rPr>
          <w:rFonts w:ascii="方正仿宋_GBK" w:hAnsi="宋体" w:eastAsia="方正仿宋_GBK"/>
          <w:color w:val="000000"/>
          <w:sz w:val="32"/>
          <w:szCs w:val="32"/>
          <w:highlight w:val="none"/>
        </w:rPr>
        <w:t>上进行公示，公示期</w:t>
      </w:r>
      <w:r>
        <w:rPr>
          <w:rFonts w:hint="eastAsia" w:ascii="方正仿宋_GBK" w:hAnsi="宋体" w:eastAsia="方正仿宋_GBK"/>
          <w:color w:val="000000"/>
          <w:sz w:val="32"/>
          <w:szCs w:val="32"/>
          <w:highlight w:val="none"/>
        </w:rPr>
        <w:t>3天</w:t>
      </w:r>
      <w:r>
        <w:rPr>
          <w:rFonts w:ascii="方正仿宋_GBK" w:hAnsi="宋体" w:eastAsia="方正仿宋_GBK"/>
          <w:color w:val="000000"/>
          <w:sz w:val="32"/>
          <w:szCs w:val="32"/>
          <w:highlight w:val="none"/>
        </w:rPr>
        <w:t>。</w:t>
      </w:r>
    </w:p>
    <w:p w14:paraId="39BFFA20">
      <w:pPr>
        <w:spacing w:line="580" w:lineRule="exact"/>
        <w:rPr>
          <w:rFonts w:ascii="宋体" w:hAnsi="宋体"/>
          <w:b/>
          <w:sz w:val="28"/>
          <w:szCs w:val="28"/>
          <w:highlight w:val="none"/>
        </w:rPr>
      </w:pPr>
      <w:r>
        <w:rPr>
          <w:rFonts w:ascii="宋体" w:hAnsi="宋体"/>
          <w:b/>
          <w:sz w:val="28"/>
          <w:szCs w:val="28"/>
          <w:highlight w:val="none"/>
        </w:rPr>
        <w:t>十</w:t>
      </w:r>
      <w:r>
        <w:rPr>
          <w:rFonts w:hint="eastAsia" w:ascii="宋体" w:hAnsi="宋体"/>
          <w:b/>
          <w:sz w:val="28"/>
          <w:szCs w:val="28"/>
          <w:highlight w:val="none"/>
        </w:rPr>
        <w:t>、</w:t>
      </w:r>
      <w:r>
        <w:rPr>
          <w:rFonts w:ascii="宋体" w:hAnsi="宋体"/>
          <w:b/>
          <w:sz w:val="28"/>
          <w:szCs w:val="28"/>
          <w:highlight w:val="none"/>
        </w:rPr>
        <w:t>其他</w:t>
      </w:r>
    </w:p>
    <w:p w14:paraId="32A9BB4F">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 投标人必须对以上条款和服务承诺明确列出，满足要求。</w:t>
      </w:r>
    </w:p>
    <w:p w14:paraId="54253E56">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w:t>
      </w:r>
      <w:r>
        <w:rPr>
          <w:rFonts w:ascii="方正仿宋_GBK" w:hAnsi="宋体" w:eastAsia="方正仿宋_GBK"/>
          <w:color w:val="000000"/>
          <w:sz w:val="32"/>
          <w:szCs w:val="32"/>
          <w:highlight w:val="none"/>
        </w:rPr>
        <w:t xml:space="preserve"> 除</w:t>
      </w:r>
      <w:r>
        <w:rPr>
          <w:rFonts w:hint="eastAsia" w:ascii="方正仿宋_GBK" w:hAnsi="宋体" w:eastAsia="方正仿宋_GBK"/>
          <w:color w:val="000000"/>
          <w:sz w:val="32"/>
          <w:szCs w:val="32"/>
          <w:highlight w:val="none"/>
        </w:rPr>
        <w:t>前文</w:t>
      </w:r>
      <w:r>
        <w:rPr>
          <w:rFonts w:ascii="方正仿宋_GBK" w:hAnsi="宋体" w:eastAsia="方正仿宋_GBK"/>
          <w:color w:val="000000"/>
          <w:sz w:val="32"/>
          <w:szCs w:val="32"/>
          <w:highlight w:val="none"/>
        </w:rPr>
        <w:t>要求外</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发生以下条款情况之一时，视为无效响应，其投标文件将被拒绝：</w:t>
      </w:r>
    </w:p>
    <w:p w14:paraId="72C2A281">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不符合规定的资格条件的；</w:t>
      </w:r>
    </w:p>
    <w:p w14:paraId="771549BA">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的法定代表人或其授权代表人未签到参加比选的；</w:t>
      </w:r>
    </w:p>
    <w:p w14:paraId="5694727A">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3</w:t>
      </w:r>
      <w:r>
        <w:rPr>
          <w:rFonts w:hint="eastAsia" w:ascii="方正仿宋_GBK" w:hAnsi="宋体" w:eastAsia="方正仿宋_GBK"/>
          <w:color w:val="000000"/>
          <w:sz w:val="32"/>
          <w:szCs w:val="32"/>
          <w:highlight w:val="none"/>
        </w:rPr>
        <w:t>）法定代表人为同一个人的两个及两个以上法人，母公司、全资子公司及其控股公司参与比选的；</w:t>
      </w:r>
    </w:p>
    <w:p w14:paraId="5C705D6C">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4</w:t>
      </w:r>
      <w:r>
        <w:rPr>
          <w:rFonts w:hint="eastAsia" w:ascii="方正仿宋_GBK" w:hAnsi="宋体" w:eastAsia="方正仿宋_GBK"/>
          <w:color w:val="000000"/>
          <w:sz w:val="32"/>
          <w:szCs w:val="32"/>
          <w:highlight w:val="none"/>
        </w:rPr>
        <w:t>）单位负责人为同一人或者存在直接控股、管理关系的不同投标人；</w:t>
      </w:r>
    </w:p>
    <w:p w14:paraId="5DB16FA7">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5</w:t>
      </w:r>
      <w:r>
        <w:rPr>
          <w:rFonts w:hint="eastAsia" w:ascii="方正仿宋_GBK" w:hAnsi="宋体" w:eastAsia="方正仿宋_GBK"/>
          <w:color w:val="000000"/>
          <w:sz w:val="32"/>
          <w:szCs w:val="32"/>
          <w:highlight w:val="none"/>
        </w:rPr>
        <w:t>）</w:t>
      </w:r>
      <w:r>
        <w:rPr>
          <w:rFonts w:ascii="方正仿宋_GBK" w:hAnsi="宋体" w:eastAsia="方正仿宋_GBK"/>
          <w:color w:val="000000"/>
          <w:sz w:val="32"/>
          <w:szCs w:val="32"/>
          <w:highlight w:val="none"/>
        </w:rPr>
        <w:t>投标人</w:t>
      </w:r>
      <w:r>
        <w:rPr>
          <w:rFonts w:hint="eastAsia" w:ascii="方正仿宋_GBK" w:hAnsi="宋体" w:eastAsia="方正仿宋_GBK"/>
          <w:color w:val="000000"/>
          <w:sz w:val="32"/>
          <w:szCs w:val="32"/>
          <w:highlight w:val="none"/>
        </w:rPr>
        <w:t>投标文件内容有与国家现行法律法规相违背的内容，或附有招标人无法接受的条件的。</w:t>
      </w:r>
    </w:p>
    <w:p w14:paraId="03624D08">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3</w:t>
      </w:r>
      <w:r>
        <w:rPr>
          <w:rFonts w:ascii="方正仿宋_GBK" w:hAnsi="宋体" w:eastAsia="方正仿宋_GBK"/>
          <w:color w:val="000000"/>
          <w:sz w:val="32"/>
          <w:szCs w:val="32"/>
          <w:highlight w:val="none"/>
        </w:rPr>
        <w:t>.</w:t>
      </w:r>
      <w:r>
        <w:rPr>
          <w:rFonts w:hint="eastAsia"/>
          <w:highlight w:val="none"/>
        </w:rPr>
        <w:t xml:space="preserve"> </w:t>
      </w:r>
      <w:r>
        <w:rPr>
          <w:rFonts w:hint="eastAsia" w:ascii="方正仿宋_GBK" w:hAnsi="宋体" w:eastAsia="方正仿宋_GBK"/>
          <w:color w:val="000000"/>
          <w:sz w:val="32"/>
          <w:szCs w:val="32"/>
          <w:highlight w:val="none"/>
        </w:rPr>
        <w:t>弃标处理：</w:t>
      </w:r>
    </w:p>
    <w:p w14:paraId="71B2D60F">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（1）招标人在中标公示结束后七日内，拟中标人未按规定签订设计合同的无故弃标行为，招标人将其列入集团公司信用黑名单，禁止在集团公司承揽相关工程。</w:t>
      </w:r>
    </w:p>
    <w:p w14:paraId="041CC5D4">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（2）拟中标人放弃中标，给招标人造成损失的，应当赔偿。</w:t>
      </w:r>
    </w:p>
    <w:p w14:paraId="34871EEF">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（3）拟中标人放弃中标资格或者经核实被取消中标资格的，招标人可按排序顺次选择，也可以重新组织比选。</w:t>
      </w:r>
    </w:p>
    <w:p w14:paraId="0C0A68A0">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4.</w:t>
      </w:r>
      <w:r>
        <w:rPr>
          <w:rFonts w:hint="eastAsia"/>
          <w:highlight w:val="none"/>
        </w:rPr>
        <w:t xml:space="preserve"> </w:t>
      </w:r>
      <w:r>
        <w:rPr>
          <w:rFonts w:hint="eastAsia" w:ascii="方正仿宋_GBK" w:hAnsi="宋体" w:eastAsia="方正仿宋_GBK"/>
          <w:color w:val="000000"/>
          <w:sz w:val="32"/>
          <w:szCs w:val="32"/>
          <w:highlight w:val="none"/>
        </w:rPr>
        <w:t>有下列情形之一的，招标人将重新招标：</w:t>
      </w:r>
    </w:p>
    <w:p w14:paraId="022D425A">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（一）投标截止时间止，投标人少于3个的；</w:t>
      </w:r>
    </w:p>
    <w:p w14:paraId="1D141A72">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（二）经评标小组评审后否决所有投标的；</w:t>
      </w:r>
    </w:p>
    <w:p w14:paraId="39D60043">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三）因评标小组作否决投标处理，导致有效投标人不足三个的，评标小组应当否决所有投标，但是评标小组认为有效投标人的经济、技术等指标仍然具有市场竞争力，并满足招标文件要求的，可以继续评标并确定中标候选人。</w:t>
      </w:r>
    </w:p>
    <w:p w14:paraId="0BBA570C">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（四）法律法规规定的其他情形。</w:t>
      </w:r>
    </w:p>
    <w:p w14:paraId="6D099ACE">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5</w:t>
      </w:r>
      <w:r>
        <w:rPr>
          <w:rFonts w:ascii="方正仿宋_GBK" w:hAnsi="宋体" w:eastAsia="方正仿宋_GBK"/>
          <w:color w:val="000000"/>
          <w:sz w:val="32"/>
          <w:szCs w:val="32"/>
          <w:highlight w:val="none"/>
        </w:rPr>
        <w:t>.</w:t>
      </w:r>
      <w:r>
        <w:rPr>
          <w:rFonts w:hint="eastAsia"/>
          <w:highlight w:val="none"/>
        </w:rPr>
        <w:t xml:space="preserve"> </w:t>
      </w:r>
      <w:r>
        <w:rPr>
          <w:rFonts w:hint="eastAsia" w:ascii="方正仿宋_GBK" w:hAnsi="宋体" w:eastAsia="方正仿宋_GBK"/>
          <w:color w:val="000000"/>
          <w:sz w:val="32"/>
          <w:szCs w:val="32"/>
          <w:highlight w:val="none"/>
        </w:rPr>
        <w:t>其他</w:t>
      </w:r>
    </w:p>
    <w:p w14:paraId="20011EE8">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（一）工作条件请各投标人务必自行踏勘现场实际了解现场工作环境，任何因忽视或误解现场实际情况而导致的索赔申请不获批准。</w:t>
      </w:r>
    </w:p>
    <w:p w14:paraId="62822CF0">
      <w:pPr>
        <w:spacing w:line="580" w:lineRule="exact"/>
        <w:ind w:firstLine="640" w:firstLineChars="20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（二）各投标人递交了投标文件、参加了投标，即视为已对本项目招标文件的所有实质性内容全部知晓。</w:t>
      </w:r>
    </w:p>
    <w:p w14:paraId="3CED6135">
      <w:pPr>
        <w:spacing w:line="580" w:lineRule="exact"/>
        <w:ind w:firstLine="640" w:firstLineChars="200"/>
        <w:rPr>
          <w:rFonts w:ascii="方正仿宋_GBK" w:hAnsi="宋体" w:eastAsia="方正仿宋_GBK"/>
          <w:color w:val="000000"/>
          <w:sz w:val="32"/>
          <w:szCs w:val="32"/>
          <w:highlight w:val="none"/>
        </w:rPr>
      </w:pPr>
      <w:r>
        <w:rPr>
          <w:rFonts w:ascii="方正仿宋_GBK" w:hAnsi="宋体" w:eastAsia="方正仿宋_GBK"/>
          <w:color w:val="000000"/>
          <w:sz w:val="32"/>
          <w:szCs w:val="32"/>
          <w:highlight w:val="none"/>
        </w:rPr>
        <w:t>6</w:t>
      </w:r>
      <w:r>
        <w:rPr>
          <w:rFonts w:hint="eastAsia" w:ascii="方正仿宋_GBK" w:hAnsi="宋体" w:eastAsia="方正仿宋_GBK"/>
          <w:color w:val="000000"/>
          <w:sz w:val="32"/>
          <w:szCs w:val="32"/>
          <w:highlight w:val="none"/>
        </w:rPr>
        <w:t>.其他未尽事宜由双方在合同中详细约定。</w:t>
      </w:r>
    </w:p>
    <w:p w14:paraId="7A61B05B">
      <w:pPr>
        <w:spacing w:line="580" w:lineRule="exact"/>
        <w:rPr>
          <w:rFonts w:ascii="宋体" w:hAnsi="宋体"/>
          <w:b/>
          <w:sz w:val="28"/>
          <w:szCs w:val="28"/>
          <w:highlight w:val="none"/>
        </w:rPr>
      </w:pPr>
      <w:r>
        <w:rPr>
          <w:rFonts w:hint="eastAsia" w:ascii="宋体" w:hAnsi="宋体"/>
          <w:b/>
          <w:sz w:val="28"/>
          <w:szCs w:val="28"/>
          <w:highlight w:val="none"/>
        </w:rPr>
        <w:t>十一</w:t>
      </w:r>
      <w:r>
        <w:rPr>
          <w:rFonts w:ascii="宋体" w:hAnsi="宋体"/>
          <w:b/>
          <w:sz w:val="28"/>
          <w:szCs w:val="28"/>
          <w:highlight w:val="none"/>
        </w:rPr>
        <w:t>、</w:t>
      </w:r>
      <w:r>
        <w:rPr>
          <w:rFonts w:hint="eastAsia" w:ascii="宋体" w:hAnsi="宋体"/>
          <w:b/>
          <w:sz w:val="28"/>
          <w:szCs w:val="28"/>
          <w:highlight w:val="none"/>
        </w:rPr>
        <w:t>附件：</w:t>
      </w:r>
    </w:p>
    <w:p w14:paraId="5D5EDB99">
      <w:pPr>
        <w:pStyle w:val="22"/>
        <w:numPr>
          <w:ilvl w:val="0"/>
          <w:numId w:val="1"/>
        </w:numPr>
        <w:spacing w:line="580" w:lineRule="exact"/>
        <w:ind w:firstLineChars="0"/>
        <w:rPr>
          <w:rFonts w:ascii="方正仿宋_GBK" w:hAnsi="宋体" w:eastAsia="方正仿宋_GBK"/>
          <w:color w:val="000000"/>
          <w:sz w:val="32"/>
          <w:szCs w:val="32"/>
          <w:highlight w:val="none"/>
        </w:rPr>
      </w:pPr>
      <w:r>
        <w:rPr>
          <w:rFonts w:hint="eastAsia" w:ascii="方正仿宋_GBK" w:hAnsi="宋体" w:eastAsia="方正仿宋_GBK"/>
          <w:color w:val="000000"/>
          <w:sz w:val="32"/>
          <w:szCs w:val="32"/>
          <w:highlight w:val="none"/>
        </w:rPr>
        <w:t>投</w:t>
      </w:r>
      <w:r>
        <w:rPr>
          <w:rFonts w:ascii="方正仿宋_GBK" w:hAnsi="宋体" w:eastAsia="方正仿宋_GBK"/>
          <w:color w:val="000000"/>
          <w:sz w:val="32"/>
          <w:szCs w:val="32"/>
          <w:highlight w:val="none"/>
        </w:rPr>
        <w:t>标函。</w:t>
      </w:r>
    </w:p>
    <w:p w14:paraId="479B5E0D">
      <w:pPr>
        <w:pStyle w:val="22"/>
        <w:numPr>
          <w:ilvl w:val="0"/>
          <w:numId w:val="1"/>
        </w:numPr>
        <w:spacing w:line="580" w:lineRule="exact"/>
        <w:ind w:firstLineChars="0"/>
        <w:rPr>
          <w:rFonts w:ascii="方正仿宋_GBK" w:hAnsi="宋体" w:eastAsia="方正仿宋_GBK"/>
          <w:color w:val="000000"/>
          <w:sz w:val="32"/>
          <w:szCs w:val="32"/>
        </w:rPr>
      </w:pPr>
      <w:r>
        <w:rPr>
          <w:rFonts w:ascii="方正仿宋_GBK" w:hAnsi="宋体" w:eastAsia="方正仿宋_GBK"/>
          <w:color w:val="000000"/>
          <w:sz w:val="32"/>
          <w:szCs w:val="32"/>
        </w:rPr>
        <w:t>投标报价汇总表。</w:t>
      </w:r>
    </w:p>
    <w:p w14:paraId="0A1C88B3">
      <w:pPr>
        <w:widowControl/>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3</w:t>
      </w:r>
      <w:r>
        <w:rPr>
          <w:rFonts w:hint="eastAsia" w:ascii="方正仿宋_GBK" w:hAnsi="宋体" w:eastAsia="方正仿宋_GBK"/>
          <w:color w:val="000000"/>
          <w:sz w:val="32"/>
          <w:szCs w:val="32"/>
        </w:rPr>
        <w:t>、法定代表人身份证明书或委托证明书。</w:t>
      </w:r>
    </w:p>
    <w:p w14:paraId="2B6E539E">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4</w:t>
      </w:r>
      <w:r>
        <w:rPr>
          <w:rFonts w:hint="eastAsia" w:ascii="方正仿宋_GBK" w:hAnsi="宋体" w:eastAsia="方正仿宋_GBK"/>
          <w:color w:val="000000"/>
          <w:sz w:val="32"/>
          <w:szCs w:val="32"/>
        </w:rPr>
        <w:t>、合同协议书范本。</w:t>
      </w:r>
    </w:p>
    <w:p w14:paraId="6F77B8CE">
      <w:pPr>
        <w:spacing w:line="580" w:lineRule="exact"/>
        <w:ind w:firstLine="640" w:firstLineChars="200"/>
        <w:rPr>
          <w:rFonts w:ascii="方正仿宋_GBK" w:hAnsi="宋体" w:eastAsia="方正仿宋_GBK"/>
          <w:color w:val="000000"/>
          <w:sz w:val="32"/>
          <w:szCs w:val="32"/>
        </w:rPr>
      </w:pPr>
      <w:r>
        <w:rPr>
          <w:rFonts w:ascii="方正仿宋_GBK" w:hAnsi="宋体" w:eastAsia="方正仿宋_GBK"/>
          <w:color w:val="000000"/>
          <w:sz w:val="32"/>
          <w:szCs w:val="32"/>
        </w:rPr>
        <w:t>5、附件。</w:t>
      </w:r>
    </w:p>
    <w:p w14:paraId="262E9502">
      <w:pPr>
        <w:rPr>
          <w:rFonts w:ascii="宋体" w:hAnsi="宋体"/>
          <w:b/>
          <w:color w:val="000000"/>
          <w:sz w:val="28"/>
          <w:szCs w:val="28"/>
        </w:rPr>
      </w:pPr>
      <w:r>
        <w:rPr>
          <w:rFonts w:ascii="宋体" w:hAnsi="宋体"/>
          <w:sz w:val="28"/>
          <w:szCs w:val="28"/>
        </w:rPr>
        <w:br w:type="page"/>
      </w:r>
      <w:r>
        <w:rPr>
          <w:rFonts w:hint="eastAsia" w:ascii="宋体" w:hAnsi="宋体"/>
          <w:b/>
          <w:color w:val="000000"/>
          <w:sz w:val="28"/>
          <w:szCs w:val="28"/>
        </w:rPr>
        <w:t>附</w:t>
      </w:r>
      <w:r>
        <w:rPr>
          <w:rFonts w:ascii="宋体" w:hAnsi="宋体"/>
          <w:b/>
          <w:color w:val="000000"/>
          <w:sz w:val="28"/>
          <w:szCs w:val="28"/>
        </w:rPr>
        <w:t>件</w:t>
      </w:r>
      <w:r>
        <w:rPr>
          <w:rFonts w:hint="eastAsia" w:ascii="宋体" w:hAnsi="宋体"/>
          <w:b/>
          <w:color w:val="000000"/>
          <w:sz w:val="28"/>
          <w:szCs w:val="28"/>
        </w:rPr>
        <w:t>1</w:t>
      </w:r>
    </w:p>
    <w:p w14:paraId="082F84A5">
      <w:pPr>
        <w:pStyle w:val="2"/>
        <w:jc w:val="center"/>
        <w:rPr>
          <w:rFonts w:ascii="宋体" w:hAnsi="宋体"/>
          <w:sz w:val="28"/>
        </w:rPr>
      </w:pPr>
      <w:bookmarkStart w:id="0" w:name="_Toc224103495"/>
      <w:bookmarkStart w:id="1" w:name="_Toc333246452"/>
      <w:bookmarkStart w:id="2" w:name="_Toc277082643"/>
      <w:bookmarkStart w:id="3" w:name="_Toc287607867"/>
      <w:bookmarkStart w:id="4" w:name="_Toc369083107"/>
      <w:r>
        <w:rPr>
          <w:rFonts w:hint="eastAsia" w:ascii="宋体" w:hAnsi="宋体"/>
          <w:sz w:val="28"/>
        </w:rPr>
        <w:t>（一）</w:t>
      </w:r>
      <w:r>
        <w:rPr>
          <w:rFonts w:ascii="宋体" w:hAnsi="宋体"/>
          <w:sz w:val="28"/>
        </w:rPr>
        <w:t xml:space="preserve"> </w:t>
      </w:r>
      <w:r>
        <w:rPr>
          <w:rFonts w:hint="eastAsia" w:ascii="宋体" w:hAnsi="宋体"/>
          <w:sz w:val="28"/>
        </w:rPr>
        <w:t>投标函</w:t>
      </w:r>
      <w:bookmarkEnd w:id="0"/>
      <w:bookmarkEnd w:id="1"/>
      <w:bookmarkEnd w:id="2"/>
      <w:bookmarkEnd w:id="3"/>
      <w:bookmarkEnd w:id="4"/>
    </w:p>
    <w:p w14:paraId="5C884601">
      <w:pPr>
        <w:autoSpaceDE w:val="0"/>
        <w:autoSpaceDN w:val="0"/>
        <w:adjustRightInd w:val="0"/>
        <w:spacing w:line="200" w:lineRule="exact"/>
        <w:rPr>
          <w:rFonts w:ascii="宋体" w:hAnsi="宋体" w:cs="MingLiU"/>
          <w:sz w:val="20"/>
          <w:szCs w:val="20"/>
        </w:rPr>
      </w:pPr>
    </w:p>
    <w:p w14:paraId="54ABAC35">
      <w:pPr>
        <w:tabs>
          <w:tab w:val="left" w:pos="2640"/>
        </w:tabs>
        <w:autoSpaceDE w:val="0"/>
        <w:autoSpaceDN w:val="0"/>
        <w:adjustRightInd w:val="0"/>
        <w:spacing w:line="220" w:lineRule="exact"/>
        <w:ind w:left="120" w:right="-20"/>
        <w:rPr>
          <w:rFonts w:ascii="宋体" w:hAnsi="宋体" w:cs="MingLiU"/>
          <w:snapToGrid w:val="0"/>
          <w:szCs w:val="21"/>
        </w:rPr>
      </w:pPr>
      <w:r>
        <w:rPr>
          <w:rFonts w:ascii="宋体" w:hAnsi="宋体"/>
          <w:snapToGrid w:val="0"/>
          <w:szCs w:val="21"/>
          <w:u w:val="single"/>
        </w:rPr>
        <w:tab/>
      </w:r>
      <w:r>
        <w:rPr>
          <w:rFonts w:hint="eastAsia" w:ascii="宋体" w:hAnsi="宋体" w:cs="MingLiU"/>
          <w:snapToGrid w:val="0"/>
          <w:szCs w:val="21"/>
        </w:rPr>
        <w:t>（招标人名称）：</w:t>
      </w:r>
    </w:p>
    <w:p w14:paraId="75FA823B">
      <w:pPr>
        <w:autoSpaceDE w:val="0"/>
        <w:autoSpaceDN w:val="0"/>
        <w:adjustRightInd w:val="0"/>
        <w:spacing w:before="15" w:line="140" w:lineRule="exact"/>
        <w:rPr>
          <w:rFonts w:ascii="宋体" w:hAnsi="宋体" w:cs="MingLiU"/>
          <w:snapToGrid w:val="0"/>
          <w:sz w:val="14"/>
          <w:szCs w:val="14"/>
        </w:rPr>
      </w:pPr>
    </w:p>
    <w:p w14:paraId="779C4556">
      <w:pPr>
        <w:autoSpaceDE w:val="0"/>
        <w:autoSpaceDN w:val="0"/>
        <w:adjustRightInd w:val="0"/>
        <w:spacing w:line="200" w:lineRule="exact"/>
        <w:rPr>
          <w:rFonts w:ascii="宋体" w:hAnsi="宋体" w:cs="MingLiU"/>
          <w:snapToGrid w:val="0"/>
          <w:sz w:val="20"/>
          <w:szCs w:val="20"/>
        </w:rPr>
      </w:pPr>
    </w:p>
    <w:p w14:paraId="24DB6F65">
      <w:pPr>
        <w:autoSpaceDE w:val="0"/>
        <w:autoSpaceDN w:val="0"/>
        <w:adjustRightInd w:val="0"/>
        <w:spacing w:line="200" w:lineRule="exact"/>
        <w:rPr>
          <w:rFonts w:ascii="宋体" w:hAnsi="宋体" w:cs="MingLiU"/>
          <w:snapToGrid w:val="0"/>
          <w:sz w:val="20"/>
          <w:szCs w:val="20"/>
        </w:rPr>
      </w:pPr>
    </w:p>
    <w:p w14:paraId="58A11B7E">
      <w:pPr>
        <w:tabs>
          <w:tab w:val="left" w:pos="2655"/>
          <w:tab w:val="left" w:pos="2760"/>
          <w:tab w:val="left" w:pos="4500"/>
          <w:tab w:val="left" w:pos="5715"/>
          <w:tab w:val="left" w:pos="6945"/>
          <w:tab w:val="left" w:pos="8505"/>
        </w:tabs>
        <w:autoSpaceDE w:val="0"/>
        <w:autoSpaceDN w:val="0"/>
        <w:adjustRightInd w:val="0"/>
        <w:spacing w:line="354" w:lineRule="auto"/>
        <w:ind w:left="120" w:leftChars="57" w:right="94" w:firstLine="420" w:firstLineChars="200"/>
        <w:rPr>
          <w:rFonts w:ascii="宋体" w:hAnsi="宋体" w:cs="MingLiU"/>
          <w:snapToGrid w:val="0"/>
          <w:szCs w:val="21"/>
        </w:rPr>
      </w:pPr>
      <w:r>
        <w:rPr>
          <w:rFonts w:ascii="宋体" w:hAnsi="宋体"/>
          <w:snapToGrid w:val="0"/>
          <w:szCs w:val="21"/>
        </w:rPr>
        <w:t>1</w:t>
      </w:r>
      <w:r>
        <w:rPr>
          <w:rFonts w:hint="eastAsia" w:ascii="宋体" w:hAnsi="宋体" w:cs="MingLiU"/>
          <w:snapToGrid w:val="0"/>
          <w:szCs w:val="21"/>
        </w:rPr>
        <w:t>．我方已仔细研究了</w:t>
      </w:r>
      <w:r>
        <w:rPr>
          <w:rFonts w:ascii="宋体" w:hAnsi="宋体" w:cs="MingLiU"/>
          <w:snapToGrid w:val="0"/>
          <w:w w:val="200"/>
          <w:szCs w:val="21"/>
          <w:u w:val="single"/>
        </w:rPr>
        <w:t xml:space="preserve"> </w:t>
      </w:r>
      <w:r>
        <w:rPr>
          <w:rFonts w:hint="eastAsia" w:ascii="宋体" w:hAnsi="宋体" w:cs="MingLiU"/>
          <w:snapToGrid w:val="0"/>
          <w:w w:val="200"/>
          <w:szCs w:val="21"/>
          <w:u w:val="single"/>
        </w:rPr>
        <w:t xml:space="preserve"> </w:t>
      </w:r>
      <w:r>
        <w:rPr>
          <w:rFonts w:ascii="宋体" w:hAnsi="宋体"/>
          <w:snapToGrid w:val="0"/>
          <w:szCs w:val="21"/>
          <w:u w:val="single"/>
        </w:rPr>
        <w:tab/>
      </w:r>
      <w:r>
        <w:rPr>
          <w:rFonts w:hint="eastAsia" w:ascii="宋体" w:hAnsi="宋体"/>
          <w:snapToGrid w:val="0"/>
          <w:szCs w:val="21"/>
          <w:u w:val="single"/>
        </w:rPr>
        <w:t xml:space="preserve">  </w:t>
      </w:r>
      <w:r>
        <w:rPr>
          <w:rFonts w:hint="eastAsia" w:ascii="宋体" w:hAnsi="宋体" w:cs="MingLiU"/>
          <w:snapToGrid w:val="0"/>
          <w:szCs w:val="21"/>
        </w:rPr>
        <w:t>（项目名称）招标文件的全部内容，愿意以人民币</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hint="eastAsia" w:ascii="宋体" w:hAnsi="宋体" w:cs="MingLiU"/>
          <w:snapToGrid w:val="0"/>
          <w:szCs w:val="21"/>
          <w:u w:val="single"/>
        </w:rPr>
        <w:t xml:space="preserve">  </w:t>
      </w:r>
      <w:r>
        <w:rPr>
          <w:rFonts w:hint="eastAsia" w:ascii="宋体" w:hAnsi="宋体" w:cs="MingLiU"/>
          <w:snapToGrid w:val="0"/>
          <w:szCs w:val="21"/>
        </w:rPr>
        <w:t>元（大写：</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hint="eastAsia" w:ascii="宋体" w:hAnsi="宋体" w:cs="MingLiU"/>
          <w:snapToGrid w:val="0"/>
          <w:szCs w:val="21"/>
        </w:rPr>
        <w:t>）的总</w:t>
      </w:r>
      <w:r>
        <w:rPr>
          <w:rFonts w:ascii="宋体" w:hAnsi="宋体" w:cs="MingLiU"/>
          <w:snapToGrid w:val="0"/>
          <w:szCs w:val="21"/>
        </w:rPr>
        <w:t>价</w:t>
      </w:r>
      <w:r>
        <w:rPr>
          <w:rFonts w:hint="eastAsia" w:ascii="宋体" w:hAnsi="宋体" w:cs="MingLiU"/>
          <w:snapToGrid w:val="0"/>
          <w:szCs w:val="21"/>
        </w:rPr>
        <w:t>作为本次投标的</w:t>
      </w:r>
      <w:r>
        <w:rPr>
          <w:rFonts w:hint="eastAsia" w:ascii="宋体" w:hAnsi="宋体"/>
          <w:szCs w:val="21"/>
        </w:rPr>
        <w:t>总报</w:t>
      </w:r>
      <w:r>
        <w:rPr>
          <w:rFonts w:ascii="宋体" w:hAnsi="宋体"/>
          <w:szCs w:val="21"/>
        </w:rPr>
        <w:t>价</w:t>
      </w:r>
      <w:r>
        <w:rPr>
          <w:rFonts w:hint="eastAsia" w:ascii="宋体" w:hAnsi="宋体"/>
          <w:szCs w:val="21"/>
        </w:rPr>
        <w:t>，一至五层医院门急诊区、门诊区、住院区设计以</w:t>
      </w:r>
      <w:r>
        <w:rPr>
          <w:rFonts w:ascii="宋体" w:hAnsi="宋体"/>
          <w:szCs w:val="21"/>
        </w:rPr>
        <w:t>人民币</w:t>
      </w:r>
      <w:r>
        <w:rPr>
          <w:rFonts w:hint="eastAsia" w:ascii="宋体" w:hAnsi="宋体"/>
          <w:szCs w:val="21"/>
          <w:u w:val="single"/>
        </w:rPr>
        <w:t xml:space="preserve">      </w:t>
      </w:r>
      <w:r>
        <w:rPr>
          <w:rFonts w:hint="eastAsia" w:ascii="宋体" w:hAnsi="宋体"/>
          <w:szCs w:val="21"/>
        </w:rPr>
        <w:t>元/</w:t>
      </w:r>
      <w:r>
        <w:rPr>
          <w:rFonts w:ascii="宋体" w:hAnsi="宋体"/>
          <w:szCs w:val="21"/>
        </w:rPr>
        <w:t>m2(</w:t>
      </w:r>
      <w:r>
        <w:rPr>
          <w:rFonts w:hint="eastAsia" w:ascii="宋体" w:hAnsi="宋体"/>
          <w:szCs w:val="21"/>
        </w:rPr>
        <w:t>大写</w:t>
      </w:r>
      <w:r>
        <w:rPr>
          <w:rFonts w:ascii="宋体" w:hAnsi="宋体"/>
          <w:szCs w:val="21"/>
        </w:rPr>
        <w:t>：</w:t>
      </w:r>
      <w:r>
        <w:rPr>
          <w:rFonts w:ascii="宋体" w:hAnsi="宋体"/>
          <w:szCs w:val="21"/>
          <w:u w:val="single"/>
        </w:rPr>
        <w:t xml:space="preserve">        </w:t>
      </w:r>
      <w:r>
        <w:rPr>
          <w:rFonts w:hint="eastAsia" w:ascii="宋体" w:hAnsi="宋体"/>
          <w:szCs w:val="21"/>
        </w:rPr>
        <w:t>)的</w:t>
      </w:r>
      <w:r>
        <w:rPr>
          <w:rFonts w:ascii="宋体" w:hAnsi="宋体"/>
          <w:szCs w:val="21"/>
        </w:rPr>
        <w:t>固定单价</w:t>
      </w:r>
      <w:r>
        <w:rPr>
          <w:rFonts w:hint="eastAsia" w:ascii="宋体" w:hAnsi="宋体"/>
          <w:szCs w:val="21"/>
        </w:rPr>
        <w:t>作为</w:t>
      </w:r>
      <w:r>
        <w:rPr>
          <w:rFonts w:ascii="宋体" w:hAnsi="宋体"/>
          <w:szCs w:val="21"/>
        </w:rPr>
        <w:t>本次投标的固定单价</w:t>
      </w:r>
      <w:r>
        <w:rPr>
          <w:rFonts w:hint="eastAsia" w:ascii="宋体" w:hAnsi="宋体"/>
          <w:szCs w:val="21"/>
        </w:rPr>
        <w:t>；地下层、附楼（包括但不限于食堂、车库、办公区、后勤保障、业务管理、其他配套用房等）设计以</w:t>
      </w:r>
      <w:r>
        <w:rPr>
          <w:rFonts w:ascii="宋体" w:hAnsi="宋体"/>
          <w:szCs w:val="21"/>
        </w:rPr>
        <w:t>人民币</w:t>
      </w:r>
      <w:r>
        <w:rPr>
          <w:rFonts w:hint="eastAsia" w:ascii="宋体" w:hAnsi="宋体"/>
          <w:szCs w:val="21"/>
          <w:u w:val="single"/>
        </w:rPr>
        <w:t xml:space="preserve">      </w:t>
      </w:r>
      <w:r>
        <w:rPr>
          <w:rFonts w:hint="eastAsia" w:ascii="宋体" w:hAnsi="宋体"/>
          <w:szCs w:val="21"/>
        </w:rPr>
        <w:t>元/</w:t>
      </w:r>
      <w:r>
        <w:rPr>
          <w:rFonts w:ascii="宋体" w:hAnsi="宋体"/>
          <w:szCs w:val="21"/>
        </w:rPr>
        <w:t>m2(</w:t>
      </w:r>
      <w:r>
        <w:rPr>
          <w:rFonts w:hint="eastAsia" w:ascii="宋体" w:hAnsi="宋体"/>
          <w:szCs w:val="21"/>
        </w:rPr>
        <w:t>大写</w:t>
      </w:r>
      <w:r>
        <w:rPr>
          <w:rFonts w:ascii="宋体" w:hAnsi="宋体"/>
          <w:szCs w:val="21"/>
        </w:rPr>
        <w:t>：</w:t>
      </w:r>
      <w:r>
        <w:rPr>
          <w:rFonts w:ascii="宋体" w:hAnsi="宋体"/>
          <w:szCs w:val="21"/>
          <w:u w:val="single"/>
        </w:rPr>
        <w:t xml:space="preserve">        </w:t>
      </w:r>
      <w:r>
        <w:rPr>
          <w:rFonts w:hint="eastAsia" w:ascii="宋体" w:hAnsi="宋体"/>
          <w:szCs w:val="21"/>
        </w:rPr>
        <w:t>)的</w:t>
      </w:r>
      <w:r>
        <w:rPr>
          <w:rFonts w:ascii="宋体" w:hAnsi="宋体"/>
          <w:szCs w:val="21"/>
        </w:rPr>
        <w:t>固定单价</w:t>
      </w:r>
      <w:r>
        <w:rPr>
          <w:rFonts w:hint="eastAsia" w:ascii="宋体" w:hAnsi="宋体"/>
          <w:szCs w:val="21"/>
        </w:rPr>
        <w:t>作为</w:t>
      </w:r>
      <w:r>
        <w:rPr>
          <w:rFonts w:ascii="宋体" w:hAnsi="宋体"/>
          <w:szCs w:val="21"/>
        </w:rPr>
        <w:t>本次投标的固定单价，</w:t>
      </w:r>
      <w:r>
        <w:rPr>
          <w:rFonts w:hint="eastAsia" w:ascii="宋体" w:hAnsi="宋体"/>
          <w:szCs w:val="21"/>
        </w:rPr>
        <w:t>质量技术要求及验收方法：</w:t>
      </w:r>
      <w:r>
        <w:rPr>
          <w:rFonts w:hint="eastAsia" w:ascii="宋体" w:hAnsi="宋体"/>
          <w:szCs w:val="21"/>
          <w:u w:val="single"/>
        </w:rPr>
        <w:t xml:space="preserve">满足招标文件要求 </w:t>
      </w:r>
      <w:r>
        <w:rPr>
          <w:rFonts w:hint="eastAsia" w:ascii="宋体" w:hAnsi="宋体" w:cs="MingLiU"/>
          <w:snapToGrid w:val="0"/>
          <w:szCs w:val="21"/>
        </w:rPr>
        <w:t>，工期</w:t>
      </w:r>
      <w:r>
        <w:rPr>
          <w:rFonts w:hint="eastAsia" w:ascii="宋体" w:hAnsi="宋体" w:cs="MingLiU"/>
          <w:snapToGrid w:val="0"/>
          <w:szCs w:val="21"/>
          <w:u w:val="single"/>
        </w:rPr>
        <w:t xml:space="preserve"> </w:t>
      </w:r>
      <w:r>
        <w:rPr>
          <w:rFonts w:ascii="宋体" w:hAnsi="宋体" w:cs="MingLiU"/>
          <w:snapToGrid w:val="0"/>
          <w:szCs w:val="21"/>
          <w:u w:val="single"/>
        </w:rPr>
        <w:t xml:space="preserve">     </w:t>
      </w:r>
      <w:r>
        <w:rPr>
          <w:rFonts w:ascii="宋体" w:hAnsi="宋体" w:cs="MingLiU"/>
          <w:snapToGrid w:val="0"/>
          <w:szCs w:val="21"/>
        </w:rPr>
        <w:t>。</w:t>
      </w:r>
    </w:p>
    <w:p w14:paraId="04CE3935">
      <w:pPr>
        <w:autoSpaceDE w:val="0"/>
        <w:autoSpaceDN w:val="0"/>
        <w:adjustRightInd w:val="0"/>
        <w:spacing w:before="15"/>
        <w:ind w:left="540" w:right="-20"/>
        <w:rPr>
          <w:rFonts w:ascii="宋体" w:hAnsi="宋体" w:cs="MingLiU"/>
          <w:snapToGrid w:val="0"/>
          <w:szCs w:val="21"/>
        </w:rPr>
      </w:pPr>
      <w:r>
        <w:rPr>
          <w:rFonts w:ascii="宋体" w:hAnsi="宋体"/>
          <w:snapToGrid w:val="0"/>
          <w:szCs w:val="21"/>
        </w:rPr>
        <w:t>2</w:t>
      </w:r>
      <w:r>
        <w:rPr>
          <w:rFonts w:hint="eastAsia" w:ascii="宋体" w:hAnsi="宋体" w:cs="MingLiU"/>
          <w:snapToGrid w:val="0"/>
          <w:szCs w:val="21"/>
        </w:rPr>
        <w:t>．我方承诺在投标有效期内不修改、撤销投标文件。</w:t>
      </w:r>
    </w:p>
    <w:p w14:paraId="297DDB4D">
      <w:pPr>
        <w:autoSpaceDE w:val="0"/>
        <w:autoSpaceDN w:val="0"/>
        <w:adjustRightInd w:val="0"/>
        <w:spacing w:before="11" w:line="100" w:lineRule="exact"/>
        <w:rPr>
          <w:rFonts w:ascii="宋体" w:hAnsi="宋体" w:cs="MingLiU"/>
          <w:snapToGrid w:val="0"/>
          <w:sz w:val="10"/>
          <w:szCs w:val="10"/>
        </w:rPr>
      </w:pPr>
    </w:p>
    <w:p w14:paraId="33CB7819">
      <w:pPr>
        <w:autoSpaceDE w:val="0"/>
        <w:autoSpaceDN w:val="0"/>
        <w:adjustRightInd w:val="0"/>
        <w:ind w:left="540" w:right="-20"/>
        <w:rPr>
          <w:rFonts w:ascii="宋体" w:hAnsi="宋体" w:cs="MingLiU"/>
          <w:snapToGrid w:val="0"/>
          <w:szCs w:val="21"/>
        </w:rPr>
      </w:pPr>
      <w:r>
        <w:rPr>
          <w:rFonts w:ascii="宋体" w:hAnsi="宋体"/>
          <w:snapToGrid w:val="0"/>
          <w:szCs w:val="21"/>
        </w:rPr>
        <w:t>3</w:t>
      </w:r>
      <w:r>
        <w:rPr>
          <w:rFonts w:hint="eastAsia" w:ascii="宋体" w:hAnsi="宋体" w:cs="MingLiU"/>
          <w:snapToGrid w:val="0"/>
          <w:szCs w:val="21"/>
        </w:rPr>
        <w:t>．如我方中标：</w:t>
      </w:r>
    </w:p>
    <w:p w14:paraId="0B6082FD">
      <w:pPr>
        <w:autoSpaceDE w:val="0"/>
        <w:autoSpaceDN w:val="0"/>
        <w:adjustRightInd w:val="0"/>
        <w:spacing w:before="11" w:line="100" w:lineRule="exact"/>
        <w:rPr>
          <w:rFonts w:ascii="宋体" w:hAnsi="宋体" w:cs="MingLiU"/>
          <w:snapToGrid w:val="0"/>
          <w:sz w:val="10"/>
          <w:szCs w:val="10"/>
        </w:rPr>
      </w:pPr>
    </w:p>
    <w:p w14:paraId="0F9DDD94">
      <w:pPr>
        <w:autoSpaceDE w:val="0"/>
        <w:autoSpaceDN w:val="0"/>
        <w:adjustRightInd w:val="0"/>
        <w:ind w:right="-80" w:firstLine="945" w:firstLineChars="450"/>
        <w:rPr>
          <w:rFonts w:ascii="宋体" w:hAnsi="宋体" w:cs="MingLiU"/>
          <w:snapToGrid w:val="0"/>
          <w:szCs w:val="21"/>
        </w:rPr>
      </w:pPr>
      <w:r>
        <w:rPr>
          <w:rFonts w:hint="eastAsia" w:ascii="宋体" w:hAnsi="宋体" w:cs="MingLiU"/>
          <w:snapToGrid w:val="0"/>
          <w:szCs w:val="21"/>
        </w:rPr>
        <w:t>我方承诺在收到中标通知书后，在中标通知书规定的期限内与你方签订合同。</w:t>
      </w:r>
    </w:p>
    <w:p w14:paraId="4758B75D">
      <w:pPr>
        <w:autoSpaceDE w:val="0"/>
        <w:autoSpaceDN w:val="0"/>
        <w:adjustRightInd w:val="0"/>
        <w:spacing w:before="10" w:line="100" w:lineRule="exact"/>
        <w:rPr>
          <w:rFonts w:ascii="宋体" w:hAnsi="宋体" w:cs="MingLiU"/>
          <w:snapToGrid w:val="0"/>
          <w:sz w:val="10"/>
          <w:szCs w:val="10"/>
        </w:rPr>
      </w:pPr>
    </w:p>
    <w:p w14:paraId="6958278D">
      <w:pPr>
        <w:autoSpaceDE w:val="0"/>
        <w:autoSpaceDN w:val="0"/>
        <w:adjustRightInd w:val="0"/>
        <w:spacing w:before="10" w:line="100" w:lineRule="exact"/>
        <w:rPr>
          <w:rFonts w:ascii="宋体" w:hAnsi="宋体" w:cs="MingLiU"/>
          <w:snapToGrid w:val="0"/>
          <w:sz w:val="10"/>
          <w:szCs w:val="10"/>
        </w:rPr>
      </w:pPr>
    </w:p>
    <w:p w14:paraId="7C89A8D7">
      <w:pPr>
        <w:tabs>
          <w:tab w:val="left" w:pos="4940"/>
        </w:tabs>
        <w:autoSpaceDE w:val="0"/>
        <w:autoSpaceDN w:val="0"/>
        <w:adjustRightInd w:val="0"/>
        <w:ind w:left="540" w:right="-20"/>
        <w:rPr>
          <w:rFonts w:ascii="宋体" w:hAnsi="宋体" w:cs="MingLiU"/>
          <w:snapToGrid w:val="0"/>
          <w:szCs w:val="21"/>
        </w:rPr>
      </w:pPr>
      <w:r>
        <w:rPr>
          <w:rFonts w:ascii="宋体" w:hAnsi="宋体"/>
          <w:snapToGrid w:val="0"/>
          <w:szCs w:val="21"/>
        </w:rPr>
        <w:t>4</w:t>
      </w:r>
      <w:r>
        <w:rPr>
          <w:rFonts w:hint="eastAsia" w:ascii="宋体" w:hAnsi="宋体" w:cs="MingLiU"/>
          <w:snapToGrid w:val="0"/>
          <w:szCs w:val="21"/>
        </w:rPr>
        <w:t>．</w:t>
      </w:r>
      <w:r>
        <w:rPr>
          <w:rFonts w:ascii="宋体" w:hAnsi="宋体" w:cs="MingLiU"/>
          <w:snapToGrid w:val="0"/>
          <w:w w:val="200"/>
          <w:szCs w:val="21"/>
          <w:u w:val="single"/>
        </w:rPr>
        <w:t xml:space="preserve"> </w:t>
      </w:r>
      <w:r>
        <w:rPr>
          <w:rFonts w:ascii="宋体" w:hAnsi="宋体"/>
          <w:snapToGrid w:val="0"/>
          <w:szCs w:val="21"/>
          <w:u w:val="single"/>
        </w:rPr>
        <w:tab/>
      </w:r>
      <w:r>
        <w:rPr>
          <w:rFonts w:hint="eastAsia" w:ascii="宋体" w:hAnsi="宋体" w:cs="MingLiU"/>
          <w:snapToGrid w:val="0"/>
          <w:szCs w:val="21"/>
        </w:rPr>
        <w:t>（其他补充说明）。</w:t>
      </w:r>
    </w:p>
    <w:p w14:paraId="38AA3B27">
      <w:pPr>
        <w:tabs>
          <w:tab w:val="left" w:pos="7140"/>
          <w:tab w:val="left" w:pos="7560"/>
          <w:tab w:val="left" w:pos="8300"/>
        </w:tabs>
        <w:autoSpaceDE w:val="0"/>
        <w:autoSpaceDN w:val="0"/>
        <w:adjustRightInd w:val="0"/>
        <w:spacing w:line="370" w:lineRule="auto"/>
        <w:ind w:right="210"/>
        <w:rPr>
          <w:rFonts w:ascii="宋体" w:hAnsi="宋体" w:cs="MingLiU"/>
          <w:snapToGrid w:val="0"/>
          <w:szCs w:val="21"/>
        </w:rPr>
      </w:pPr>
    </w:p>
    <w:p w14:paraId="306F2C59">
      <w:pPr>
        <w:tabs>
          <w:tab w:val="left" w:pos="7140"/>
          <w:tab w:val="left" w:pos="7560"/>
          <w:tab w:val="left" w:pos="8300"/>
        </w:tabs>
        <w:autoSpaceDE w:val="0"/>
        <w:autoSpaceDN w:val="0"/>
        <w:adjustRightInd w:val="0"/>
        <w:ind w:right="210"/>
        <w:rPr>
          <w:rFonts w:ascii="宋体" w:hAnsi="宋体" w:cs="MingLiU"/>
          <w:snapToGrid w:val="0"/>
          <w:szCs w:val="21"/>
        </w:rPr>
      </w:pPr>
    </w:p>
    <w:p w14:paraId="1D81283B">
      <w:pPr>
        <w:tabs>
          <w:tab w:val="left" w:pos="7140"/>
          <w:tab w:val="left" w:pos="7560"/>
          <w:tab w:val="left" w:pos="8300"/>
        </w:tabs>
        <w:autoSpaceDE w:val="0"/>
        <w:autoSpaceDN w:val="0"/>
        <w:adjustRightInd w:val="0"/>
        <w:ind w:right="210" w:firstLine="1984" w:firstLineChars="945"/>
        <w:rPr>
          <w:rFonts w:ascii="宋体" w:hAnsi="宋体"/>
          <w:snapToGrid w:val="0"/>
          <w:szCs w:val="21"/>
        </w:rPr>
      </w:pPr>
      <w:r>
        <w:rPr>
          <w:rFonts w:hint="eastAsia" w:ascii="宋体" w:hAnsi="宋体" w:cs="MingLiU"/>
          <w:snapToGrid w:val="0"/>
          <w:szCs w:val="21"/>
        </w:rPr>
        <w:t>投</w:t>
      </w:r>
      <w:r>
        <w:rPr>
          <w:rFonts w:ascii="宋体" w:hAnsi="宋体"/>
          <w:snapToGrid w:val="0"/>
          <w:szCs w:val="21"/>
        </w:rPr>
        <w:t xml:space="preserve">  </w:t>
      </w:r>
      <w:r>
        <w:rPr>
          <w:rFonts w:hint="eastAsia" w:ascii="宋体" w:hAnsi="宋体" w:cs="MingLiU"/>
          <w:snapToGrid w:val="0"/>
          <w:szCs w:val="21"/>
        </w:rPr>
        <w:t>标</w:t>
      </w:r>
      <w:r>
        <w:rPr>
          <w:rFonts w:ascii="宋体" w:hAnsi="宋体"/>
          <w:snapToGrid w:val="0"/>
          <w:szCs w:val="21"/>
        </w:rPr>
        <w:t xml:space="preserve">  </w:t>
      </w:r>
      <w:r>
        <w:rPr>
          <w:rFonts w:hint="eastAsia" w:ascii="宋体" w:hAnsi="宋体" w:cs="MingLiU"/>
          <w:snapToGrid w:val="0"/>
          <w:szCs w:val="21"/>
        </w:rPr>
        <w:t>人：</w:t>
      </w:r>
      <w:r>
        <w:rPr>
          <w:rFonts w:ascii="宋体" w:hAnsi="宋体" w:cs="MingLiU"/>
          <w:snapToGrid w:val="0"/>
          <w:szCs w:val="21"/>
          <w:u w:val="single"/>
        </w:rPr>
        <w:t xml:space="preserve">                </w:t>
      </w:r>
      <w:r>
        <w:rPr>
          <w:rFonts w:hint="eastAsia" w:ascii="宋体" w:hAnsi="宋体" w:cs="MingLiU"/>
          <w:snapToGrid w:val="0"/>
          <w:szCs w:val="21"/>
          <w:u w:val="single"/>
        </w:rPr>
        <w:t>　　　　　</w:t>
      </w:r>
      <w:r>
        <w:rPr>
          <w:rFonts w:ascii="宋体" w:hAnsi="宋体" w:cs="MingLiU"/>
          <w:snapToGrid w:val="0"/>
          <w:szCs w:val="21"/>
          <w:u w:val="single"/>
        </w:rPr>
        <w:t xml:space="preserve">     </w:t>
      </w:r>
      <w:r>
        <w:rPr>
          <w:rFonts w:hint="eastAsia" w:ascii="宋体" w:hAnsi="宋体" w:cs="MingLiU"/>
          <w:snapToGrid w:val="0"/>
          <w:szCs w:val="21"/>
        </w:rPr>
        <w:t>（盖单位章）</w:t>
      </w:r>
      <w:r>
        <w:rPr>
          <w:rFonts w:ascii="宋体" w:hAnsi="宋体"/>
          <w:snapToGrid w:val="0"/>
          <w:szCs w:val="21"/>
        </w:rPr>
        <w:t xml:space="preserve"> </w:t>
      </w:r>
    </w:p>
    <w:p w14:paraId="35BCBD7E">
      <w:pPr>
        <w:tabs>
          <w:tab w:val="left" w:pos="7140"/>
          <w:tab w:val="left" w:pos="7560"/>
          <w:tab w:val="left" w:pos="8300"/>
        </w:tabs>
        <w:autoSpaceDE w:val="0"/>
        <w:autoSpaceDN w:val="0"/>
        <w:adjustRightInd w:val="0"/>
        <w:ind w:right="210" w:firstLine="1984" w:firstLineChars="945"/>
        <w:rPr>
          <w:rFonts w:ascii="宋体" w:hAnsi="宋体"/>
          <w:snapToGrid w:val="0"/>
          <w:szCs w:val="21"/>
        </w:rPr>
      </w:pPr>
    </w:p>
    <w:p w14:paraId="2F532A09">
      <w:pPr>
        <w:tabs>
          <w:tab w:val="left" w:pos="7140"/>
          <w:tab w:val="left" w:pos="7560"/>
          <w:tab w:val="left" w:pos="8300"/>
        </w:tabs>
        <w:autoSpaceDE w:val="0"/>
        <w:autoSpaceDN w:val="0"/>
        <w:adjustRightInd w:val="0"/>
        <w:ind w:right="210" w:firstLine="1995" w:firstLineChars="950"/>
        <w:rPr>
          <w:rFonts w:ascii="宋体" w:hAnsi="宋体"/>
          <w:snapToGrid w:val="0"/>
          <w:szCs w:val="21"/>
        </w:rPr>
      </w:pPr>
      <w:r>
        <w:rPr>
          <w:rFonts w:hint="eastAsia" w:ascii="宋体" w:hAnsi="宋体" w:cs="MingLiU"/>
          <w:snapToGrid w:val="0"/>
          <w:szCs w:val="21"/>
        </w:rPr>
        <w:t>法定代表人或其委托代理人：</w:t>
      </w:r>
      <w:r>
        <w:rPr>
          <w:rFonts w:ascii="宋体" w:hAnsi="宋体" w:cs="MingLiU"/>
          <w:snapToGrid w:val="0"/>
          <w:szCs w:val="21"/>
          <w:u w:val="single"/>
        </w:rPr>
        <w:t xml:space="preserve">   </w:t>
      </w:r>
      <w:r>
        <w:rPr>
          <w:rFonts w:hint="eastAsia" w:ascii="宋体" w:hAnsi="宋体"/>
          <w:snapToGrid w:val="0"/>
          <w:szCs w:val="21"/>
          <w:u w:val="single"/>
        </w:rPr>
        <w:t xml:space="preserve">            </w:t>
      </w:r>
      <w:r>
        <w:rPr>
          <w:rFonts w:hint="eastAsia" w:ascii="宋体" w:hAnsi="宋体" w:cs="MingLiU"/>
          <w:snapToGrid w:val="0"/>
          <w:szCs w:val="21"/>
        </w:rPr>
        <w:t>（签字）</w:t>
      </w:r>
      <w:r>
        <w:rPr>
          <w:rFonts w:ascii="宋体" w:hAnsi="宋体"/>
          <w:snapToGrid w:val="0"/>
          <w:szCs w:val="21"/>
        </w:rPr>
        <w:t xml:space="preserve"> </w:t>
      </w:r>
    </w:p>
    <w:p w14:paraId="38DF3BB2">
      <w:pPr>
        <w:tabs>
          <w:tab w:val="left" w:pos="7140"/>
          <w:tab w:val="left" w:pos="7560"/>
          <w:tab w:val="left" w:pos="8300"/>
        </w:tabs>
        <w:autoSpaceDE w:val="0"/>
        <w:autoSpaceDN w:val="0"/>
        <w:adjustRightInd w:val="0"/>
        <w:ind w:right="210" w:firstLine="1995" w:firstLineChars="950"/>
        <w:rPr>
          <w:rFonts w:ascii="宋体" w:hAnsi="宋体"/>
          <w:snapToGrid w:val="0"/>
          <w:szCs w:val="21"/>
        </w:rPr>
      </w:pPr>
    </w:p>
    <w:p w14:paraId="0579DF6D">
      <w:pPr>
        <w:tabs>
          <w:tab w:val="left" w:pos="7035"/>
          <w:tab w:val="left" w:pos="7560"/>
          <w:tab w:val="left" w:pos="8300"/>
        </w:tabs>
        <w:autoSpaceDE w:val="0"/>
        <w:autoSpaceDN w:val="0"/>
        <w:adjustRightInd w:val="0"/>
        <w:ind w:right="210" w:firstLine="1984" w:firstLineChars="945"/>
        <w:rPr>
          <w:rFonts w:ascii="宋体" w:hAnsi="宋体" w:cs="MingLiU"/>
          <w:snapToGrid w:val="0"/>
          <w:szCs w:val="21"/>
        </w:rPr>
      </w:pPr>
      <w:r>
        <w:rPr>
          <w:rFonts w:hint="eastAsia" w:ascii="宋体" w:hAnsi="宋体" w:cs="MingLiU"/>
          <w:snapToGrid w:val="0"/>
          <w:szCs w:val="21"/>
        </w:rPr>
        <w:t>地址：</w:t>
      </w:r>
      <w:r>
        <w:rPr>
          <w:rFonts w:ascii="宋体" w:hAnsi="宋体" w:cs="MingLiU"/>
          <w:snapToGrid w:val="0"/>
          <w:w w:val="200"/>
          <w:szCs w:val="21"/>
          <w:u w:val="single"/>
        </w:rPr>
        <w:t xml:space="preserve"> </w:t>
      </w:r>
      <w:r>
        <w:rPr>
          <w:rFonts w:ascii="宋体" w:hAnsi="宋体"/>
          <w:snapToGrid w:val="0"/>
          <w:szCs w:val="21"/>
          <w:u w:val="single"/>
        </w:rPr>
        <w:tab/>
      </w:r>
    </w:p>
    <w:p w14:paraId="3917E386">
      <w:pPr>
        <w:autoSpaceDE w:val="0"/>
        <w:autoSpaceDN w:val="0"/>
        <w:adjustRightInd w:val="0"/>
        <w:spacing w:before="14"/>
        <w:rPr>
          <w:rFonts w:ascii="宋体" w:hAnsi="宋体" w:cs="MingLiU"/>
          <w:snapToGrid w:val="0"/>
          <w:sz w:val="20"/>
          <w:szCs w:val="20"/>
        </w:rPr>
      </w:pPr>
    </w:p>
    <w:p w14:paraId="429F0676">
      <w:pPr>
        <w:tabs>
          <w:tab w:val="left" w:pos="8300"/>
        </w:tabs>
        <w:autoSpaceDE w:val="0"/>
        <w:autoSpaceDN w:val="0"/>
        <w:adjustRightInd w:val="0"/>
        <w:ind w:left="1985" w:right="-20"/>
        <w:rPr>
          <w:rFonts w:ascii="宋体" w:hAnsi="宋体" w:cs="MingLiU"/>
          <w:snapToGrid w:val="0"/>
          <w:szCs w:val="21"/>
        </w:rPr>
      </w:pPr>
      <w:r>
        <w:rPr>
          <w:rFonts w:hint="eastAsia" w:ascii="宋体" w:hAnsi="宋体" w:cs="MingLiU"/>
          <w:snapToGrid w:val="0"/>
          <w:szCs w:val="21"/>
        </w:rPr>
        <w:t>电话：</w:t>
      </w:r>
      <w:r>
        <w:rPr>
          <w:rFonts w:ascii="宋体" w:hAnsi="宋体" w:cs="MingLiU"/>
          <w:snapToGrid w:val="0"/>
          <w:w w:val="200"/>
          <w:szCs w:val="21"/>
          <w:u w:val="single"/>
        </w:rPr>
        <w:t xml:space="preserve"> </w:t>
      </w:r>
      <w:r>
        <w:rPr>
          <w:rFonts w:hint="eastAsia" w:ascii="宋体" w:hAnsi="宋体"/>
          <w:snapToGrid w:val="0"/>
          <w:szCs w:val="21"/>
          <w:u w:val="single"/>
        </w:rPr>
        <w:t>　　　　　　　　　　　　　　　　　　　　</w:t>
      </w:r>
    </w:p>
    <w:p w14:paraId="5AD62182">
      <w:pPr>
        <w:autoSpaceDE w:val="0"/>
        <w:autoSpaceDN w:val="0"/>
        <w:adjustRightInd w:val="0"/>
        <w:spacing w:before="13"/>
        <w:rPr>
          <w:rFonts w:ascii="宋体" w:hAnsi="宋体" w:cs="MingLiU"/>
          <w:snapToGrid w:val="0"/>
          <w:sz w:val="20"/>
          <w:szCs w:val="20"/>
        </w:rPr>
      </w:pPr>
    </w:p>
    <w:p w14:paraId="0755FAF0">
      <w:pPr>
        <w:tabs>
          <w:tab w:val="left" w:pos="8300"/>
        </w:tabs>
        <w:autoSpaceDE w:val="0"/>
        <w:autoSpaceDN w:val="0"/>
        <w:adjustRightInd w:val="0"/>
        <w:ind w:left="1985" w:right="-20"/>
        <w:rPr>
          <w:rFonts w:ascii="宋体" w:hAnsi="宋体" w:cs="MingLiU"/>
          <w:snapToGrid w:val="0"/>
          <w:szCs w:val="21"/>
        </w:rPr>
      </w:pPr>
      <w:r>
        <w:rPr>
          <w:rFonts w:hint="eastAsia" w:ascii="宋体" w:hAnsi="宋体" w:cs="MingLiU"/>
          <w:snapToGrid w:val="0"/>
          <w:szCs w:val="21"/>
        </w:rPr>
        <w:t>传真：</w:t>
      </w:r>
      <w:r>
        <w:rPr>
          <w:rFonts w:ascii="宋体" w:hAnsi="宋体" w:cs="MingLiU"/>
          <w:snapToGrid w:val="0"/>
          <w:w w:val="200"/>
          <w:szCs w:val="21"/>
          <w:u w:val="single"/>
        </w:rPr>
        <w:t xml:space="preserve"> </w:t>
      </w:r>
      <w:r>
        <w:rPr>
          <w:rFonts w:hint="eastAsia" w:ascii="宋体" w:hAnsi="宋体"/>
          <w:snapToGrid w:val="0"/>
          <w:szCs w:val="21"/>
          <w:u w:val="single"/>
        </w:rPr>
        <w:t>　　　　　　　　　　　　　　　　　　　　</w:t>
      </w:r>
    </w:p>
    <w:p w14:paraId="42D3892B">
      <w:pPr>
        <w:tabs>
          <w:tab w:val="left" w:pos="8300"/>
        </w:tabs>
        <w:autoSpaceDE w:val="0"/>
        <w:autoSpaceDN w:val="0"/>
        <w:adjustRightInd w:val="0"/>
        <w:ind w:left="3796" w:right="-20"/>
        <w:rPr>
          <w:rFonts w:ascii="宋体" w:hAnsi="宋体" w:cs="MingLiU"/>
          <w:snapToGrid w:val="0"/>
          <w:szCs w:val="21"/>
        </w:rPr>
      </w:pPr>
    </w:p>
    <w:p w14:paraId="21CC08C5">
      <w:pPr>
        <w:tabs>
          <w:tab w:val="left" w:pos="8300"/>
        </w:tabs>
        <w:autoSpaceDE w:val="0"/>
        <w:autoSpaceDN w:val="0"/>
        <w:adjustRightInd w:val="0"/>
        <w:ind w:left="1985" w:right="-20"/>
        <w:rPr>
          <w:rFonts w:ascii="宋体" w:hAnsi="宋体" w:cs="MingLiU"/>
          <w:snapToGrid w:val="0"/>
          <w:sz w:val="20"/>
          <w:szCs w:val="20"/>
        </w:rPr>
      </w:pPr>
      <w:r>
        <w:rPr>
          <w:rFonts w:hint="eastAsia" w:ascii="宋体" w:hAnsi="宋体" w:cs="MingLiU"/>
          <w:snapToGrid w:val="0"/>
          <w:szCs w:val="21"/>
        </w:rPr>
        <w:t>邮政编码：</w:t>
      </w:r>
      <w:r>
        <w:rPr>
          <w:rFonts w:ascii="宋体" w:hAnsi="宋体" w:cs="MingLiU"/>
          <w:snapToGrid w:val="0"/>
          <w:w w:val="200"/>
          <w:szCs w:val="21"/>
          <w:u w:val="single"/>
        </w:rPr>
        <w:t xml:space="preserve"> </w:t>
      </w:r>
      <w:r>
        <w:rPr>
          <w:rFonts w:hint="eastAsia" w:ascii="宋体" w:hAnsi="宋体" w:cs="MingLiU"/>
          <w:snapToGrid w:val="0"/>
          <w:w w:val="200"/>
          <w:szCs w:val="21"/>
          <w:u w:val="single"/>
        </w:rPr>
        <w:t>　　　　　　　　　</w:t>
      </w:r>
    </w:p>
    <w:p w14:paraId="4028DD87">
      <w:pPr>
        <w:autoSpaceDE w:val="0"/>
        <w:autoSpaceDN w:val="0"/>
        <w:adjustRightInd w:val="0"/>
        <w:rPr>
          <w:rFonts w:ascii="宋体" w:hAnsi="宋体" w:cs="MingLiU"/>
          <w:snapToGrid w:val="0"/>
          <w:sz w:val="20"/>
          <w:szCs w:val="20"/>
        </w:rPr>
      </w:pPr>
    </w:p>
    <w:p w14:paraId="7477D43B">
      <w:pPr>
        <w:autoSpaceDE w:val="0"/>
        <w:autoSpaceDN w:val="0"/>
        <w:adjustRightInd w:val="0"/>
        <w:spacing w:before="14" w:line="240" w:lineRule="exact"/>
        <w:rPr>
          <w:rFonts w:ascii="宋体" w:hAnsi="宋体" w:cs="MingLiU"/>
          <w:snapToGrid w:val="0"/>
          <w:sz w:val="24"/>
        </w:rPr>
      </w:pPr>
    </w:p>
    <w:p w14:paraId="581C8D65">
      <w:pPr>
        <w:tabs>
          <w:tab w:val="left" w:pos="6000"/>
          <w:tab w:val="left" w:pos="7040"/>
          <w:tab w:val="left" w:pos="8100"/>
        </w:tabs>
        <w:autoSpaceDE w:val="0"/>
        <w:autoSpaceDN w:val="0"/>
        <w:adjustRightInd w:val="0"/>
        <w:ind w:right="-20" w:firstLine="4924" w:firstLineChars="2345"/>
        <w:rPr>
          <w:rFonts w:ascii="宋体" w:hAnsi="宋体" w:cs="MingLiU"/>
          <w:snapToGrid w:val="0"/>
          <w:szCs w:val="21"/>
        </w:rPr>
      </w:pPr>
      <w:r>
        <w:rPr>
          <w:rFonts w:ascii="宋体" w:hAnsi="宋体" w:cs="MingLiU"/>
          <w:snapToGrid w:val="0"/>
          <w:szCs w:val="21"/>
          <w:u w:val="single"/>
        </w:rPr>
        <w:t xml:space="preserve">        </w:t>
      </w:r>
      <w:r>
        <w:rPr>
          <w:rFonts w:hint="eastAsia" w:ascii="宋体" w:hAnsi="宋体" w:cs="MingLiU"/>
          <w:snapToGrid w:val="0"/>
          <w:szCs w:val="21"/>
        </w:rPr>
        <w:t>年</w:t>
      </w:r>
      <w:r>
        <w:rPr>
          <w:rFonts w:ascii="宋体" w:hAnsi="宋体" w:cs="MingLiU"/>
          <w:snapToGrid w:val="0"/>
          <w:w w:val="200"/>
          <w:szCs w:val="21"/>
          <w:u w:val="single"/>
        </w:rPr>
        <w:t xml:space="preserve">  </w:t>
      </w:r>
      <w:r>
        <w:rPr>
          <w:rFonts w:hint="eastAsia" w:ascii="宋体" w:hAnsi="宋体" w:cs="MingLiU"/>
          <w:snapToGrid w:val="0"/>
          <w:szCs w:val="21"/>
        </w:rPr>
        <w:t>月</w:t>
      </w:r>
      <w:r>
        <w:rPr>
          <w:rFonts w:ascii="宋体" w:hAnsi="宋体" w:cs="MingLiU"/>
          <w:snapToGrid w:val="0"/>
          <w:w w:val="200"/>
          <w:szCs w:val="21"/>
          <w:u w:val="single"/>
        </w:rPr>
        <w:t xml:space="preserve">  </w:t>
      </w:r>
      <w:r>
        <w:rPr>
          <w:rFonts w:hint="eastAsia" w:ascii="宋体" w:hAnsi="宋体" w:cs="MingLiU"/>
          <w:snapToGrid w:val="0"/>
          <w:szCs w:val="21"/>
        </w:rPr>
        <w:t>日</w:t>
      </w:r>
    </w:p>
    <w:p w14:paraId="766EEB34">
      <w:pPr>
        <w:rPr>
          <w:rFonts w:ascii="宋体" w:hAnsi="宋体"/>
          <w:color w:val="000000"/>
          <w:sz w:val="28"/>
          <w:szCs w:val="28"/>
        </w:rPr>
      </w:pPr>
    </w:p>
    <w:p w14:paraId="63DB9912">
      <w:pPr>
        <w:rPr>
          <w:rFonts w:ascii="宋体" w:hAnsi="宋体"/>
          <w:color w:val="000000"/>
          <w:sz w:val="24"/>
          <w:szCs w:val="28"/>
        </w:rPr>
      </w:pPr>
      <w:r>
        <w:rPr>
          <w:rFonts w:ascii="宋体" w:hAnsi="宋体"/>
          <w:color w:val="000000"/>
          <w:sz w:val="28"/>
          <w:szCs w:val="28"/>
        </w:rPr>
        <w:t>注</w:t>
      </w:r>
      <w:r>
        <w:rPr>
          <w:rFonts w:hint="eastAsia" w:ascii="宋体" w:hAnsi="宋体"/>
          <w:color w:val="000000"/>
          <w:sz w:val="28"/>
          <w:szCs w:val="28"/>
        </w:rPr>
        <w:t>：</w:t>
      </w:r>
      <w:r>
        <w:rPr>
          <w:rFonts w:hint="eastAsia" w:ascii="宋体" w:hAnsi="宋体"/>
          <w:color w:val="000000"/>
          <w:sz w:val="24"/>
          <w:szCs w:val="28"/>
        </w:rPr>
        <w:t>大写金额和小写金额不一致时，以大写金额为准；</w:t>
      </w:r>
    </w:p>
    <w:p w14:paraId="6037C613">
      <w:pPr>
        <w:rPr>
          <w:color w:val="000000"/>
          <w:sz w:val="28"/>
          <w:szCs w:val="28"/>
        </w:rPr>
      </w:pPr>
    </w:p>
    <w:p w14:paraId="2884E174">
      <w:pPr>
        <w:rPr>
          <w:color w:val="000000"/>
          <w:sz w:val="28"/>
          <w:szCs w:val="28"/>
        </w:rPr>
      </w:pPr>
    </w:p>
    <w:p w14:paraId="63D6968E">
      <w:pPr>
        <w:rPr>
          <w:rFonts w:ascii="宋体" w:hAnsi="宋体"/>
          <w:b/>
          <w:color w:val="000000"/>
          <w:sz w:val="28"/>
          <w:szCs w:val="28"/>
        </w:rPr>
      </w:pPr>
      <w:r>
        <w:rPr>
          <w:rFonts w:hint="eastAsia" w:ascii="宋体" w:hAnsi="宋体"/>
          <w:b/>
          <w:color w:val="000000"/>
          <w:sz w:val="28"/>
          <w:szCs w:val="28"/>
        </w:rPr>
        <w:t>附件</w:t>
      </w:r>
      <w:r>
        <w:rPr>
          <w:rFonts w:ascii="宋体" w:hAnsi="宋体"/>
          <w:b/>
          <w:color w:val="000000"/>
          <w:sz w:val="28"/>
          <w:szCs w:val="28"/>
        </w:rPr>
        <w:t>2</w:t>
      </w:r>
      <w:r>
        <w:rPr>
          <w:rFonts w:hint="eastAsia" w:ascii="宋体" w:hAnsi="宋体"/>
          <w:b/>
          <w:color w:val="000000"/>
          <w:sz w:val="28"/>
          <w:szCs w:val="28"/>
        </w:rPr>
        <w:t>：</w:t>
      </w:r>
    </w:p>
    <w:tbl>
      <w:tblPr>
        <w:tblStyle w:val="10"/>
        <w:tblW w:w="0" w:type="auto"/>
        <w:tblInd w:w="0" w:type="dxa"/>
        <w:tblLayout w:type="autofit"/>
        <w:tblCellMar>
          <w:top w:w="0" w:type="dxa"/>
          <w:left w:w="108" w:type="dxa"/>
          <w:bottom w:w="0" w:type="dxa"/>
          <w:right w:w="108" w:type="dxa"/>
        </w:tblCellMar>
      </w:tblPr>
      <w:tblGrid>
        <w:gridCol w:w="511"/>
        <w:gridCol w:w="3590"/>
        <w:gridCol w:w="586"/>
        <w:gridCol w:w="879"/>
        <w:gridCol w:w="1553"/>
        <w:gridCol w:w="1403"/>
      </w:tblGrid>
      <w:tr w14:paraId="62A03ACA">
        <w:tblPrEx>
          <w:tblCellMar>
            <w:top w:w="0" w:type="dxa"/>
            <w:left w:w="108" w:type="dxa"/>
            <w:bottom w:w="0" w:type="dxa"/>
            <w:right w:w="108" w:type="dxa"/>
          </w:tblCellMar>
        </w:tblPrEx>
        <w:trPr>
          <w:trHeight w:val="540" w:hRule="atLeast"/>
        </w:trPr>
        <w:tc>
          <w:tcPr>
            <w:tcW w:w="0" w:type="auto"/>
            <w:gridSpan w:val="6"/>
            <w:tcBorders>
              <w:top w:val="nil"/>
              <w:left w:val="nil"/>
              <w:bottom w:val="single" w:color="auto" w:sz="4" w:space="0"/>
              <w:right w:val="nil"/>
            </w:tcBorders>
            <w:shd w:val="clear" w:color="auto" w:fill="auto"/>
            <w:vAlign w:val="center"/>
          </w:tcPr>
          <w:p w14:paraId="40178D9B">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投标报价汇总表</w:t>
            </w:r>
          </w:p>
        </w:tc>
      </w:tr>
      <w:tr w14:paraId="3BE4BD5D">
        <w:tblPrEx>
          <w:tblCellMar>
            <w:top w:w="0" w:type="dxa"/>
            <w:left w:w="108" w:type="dxa"/>
            <w:bottom w:w="0" w:type="dxa"/>
            <w:right w:w="108" w:type="dxa"/>
          </w:tblCellMar>
        </w:tblPrEx>
        <w:trPr>
          <w:trHeight w:val="795"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37FC3C2A">
            <w:pPr>
              <w:widowControl/>
              <w:jc w:val="center"/>
              <w:rPr>
                <w:rFonts w:ascii="宋体" w:hAnsi="宋体" w:cs="宋体"/>
                <w:color w:val="000000"/>
                <w:kern w:val="0"/>
                <w:sz w:val="22"/>
                <w:szCs w:val="22"/>
              </w:rPr>
            </w:pPr>
            <w:r>
              <w:rPr>
                <w:rFonts w:hint="eastAsia" w:ascii="宋体" w:hAnsi="宋体" w:cs="宋体"/>
                <w:color w:val="000000"/>
                <w:kern w:val="0"/>
                <w:sz w:val="22"/>
                <w:szCs w:val="22"/>
              </w:rPr>
              <w:t>序号</w:t>
            </w:r>
          </w:p>
        </w:tc>
        <w:tc>
          <w:tcPr>
            <w:tcW w:w="0" w:type="auto"/>
            <w:tcBorders>
              <w:top w:val="nil"/>
              <w:left w:val="nil"/>
              <w:bottom w:val="single" w:color="auto" w:sz="4" w:space="0"/>
              <w:right w:val="single" w:color="auto" w:sz="4" w:space="0"/>
            </w:tcBorders>
            <w:shd w:val="clear" w:color="auto" w:fill="auto"/>
            <w:vAlign w:val="center"/>
          </w:tcPr>
          <w:p w14:paraId="629CD67F">
            <w:pPr>
              <w:widowControl/>
              <w:jc w:val="center"/>
              <w:rPr>
                <w:rFonts w:ascii="宋体" w:hAnsi="宋体" w:cs="宋体"/>
                <w:color w:val="000000"/>
                <w:kern w:val="0"/>
                <w:sz w:val="22"/>
                <w:szCs w:val="22"/>
              </w:rPr>
            </w:pPr>
            <w:r>
              <w:rPr>
                <w:rFonts w:hint="eastAsia" w:ascii="宋体" w:hAnsi="宋体" w:cs="宋体"/>
                <w:color w:val="000000"/>
                <w:kern w:val="0"/>
                <w:sz w:val="22"/>
                <w:szCs w:val="22"/>
              </w:rPr>
              <w:t>设计部位</w:t>
            </w:r>
          </w:p>
        </w:tc>
        <w:tc>
          <w:tcPr>
            <w:tcW w:w="0" w:type="auto"/>
            <w:tcBorders>
              <w:top w:val="nil"/>
              <w:left w:val="nil"/>
              <w:bottom w:val="single" w:color="auto" w:sz="4" w:space="0"/>
              <w:right w:val="single" w:color="auto" w:sz="4" w:space="0"/>
            </w:tcBorders>
            <w:shd w:val="clear" w:color="auto" w:fill="auto"/>
            <w:vAlign w:val="center"/>
          </w:tcPr>
          <w:p w14:paraId="35DDABAA">
            <w:pPr>
              <w:widowControl/>
              <w:jc w:val="center"/>
              <w:rPr>
                <w:rFonts w:ascii="宋体" w:hAnsi="宋体" w:cs="宋体"/>
                <w:color w:val="000000"/>
                <w:kern w:val="0"/>
                <w:sz w:val="22"/>
                <w:szCs w:val="22"/>
              </w:rPr>
            </w:pPr>
            <w:r>
              <w:rPr>
                <w:rFonts w:hint="eastAsia" w:ascii="宋体" w:hAnsi="宋体" w:cs="宋体"/>
                <w:color w:val="000000"/>
                <w:kern w:val="0"/>
                <w:sz w:val="22"/>
                <w:szCs w:val="22"/>
              </w:rPr>
              <w:t>单位</w:t>
            </w:r>
          </w:p>
        </w:tc>
        <w:tc>
          <w:tcPr>
            <w:tcW w:w="0" w:type="auto"/>
            <w:tcBorders>
              <w:top w:val="nil"/>
              <w:left w:val="nil"/>
              <w:bottom w:val="single" w:color="auto" w:sz="4" w:space="0"/>
              <w:right w:val="single" w:color="auto" w:sz="4" w:space="0"/>
            </w:tcBorders>
            <w:shd w:val="clear" w:color="auto" w:fill="auto"/>
            <w:vAlign w:val="center"/>
          </w:tcPr>
          <w:p w14:paraId="140F7752">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建筑面积</w:t>
            </w:r>
          </w:p>
        </w:tc>
        <w:tc>
          <w:tcPr>
            <w:tcW w:w="0" w:type="auto"/>
            <w:tcBorders>
              <w:top w:val="nil"/>
              <w:left w:val="nil"/>
              <w:bottom w:val="single" w:color="auto" w:sz="4" w:space="0"/>
              <w:right w:val="single" w:color="auto" w:sz="4" w:space="0"/>
            </w:tcBorders>
            <w:shd w:val="clear" w:color="auto" w:fill="auto"/>
            <w:vAlign w:val="center"/>
          </w:tcPr>
          <w:p w14:paraId="3061411C">
            <w:pPr>
              <w:widowControl/>
              <w:jc w:val="center"/>
              <w:rPr>
                <w:rFonts w:ascii="宋体" w:hAnsi="宋体" w:cs="宋体"/>
                <w:color w:val="000000"/>
                <w:kern w:val="0"/>
                <w:sz w:val="22"/>
                <w:szCs w:val="22"/>
              </w:rPr>
            </w:pPr>
            <w:r>
              <w:rPr>
                <w:rFonts w:hint="eastAsia" w:ascii="宋体" w:hAnsi="宋体" w:cs="宋体"/>
                <w:color w:val="000000"/>
                <w:kern w:val="0"/>
                <w:sz w:val="22"/>
                <w:szCs w:val="22"/>
              </w:rPr>
              <w:t>全费用综合单价报价（元）</w:t>
            </w:r>
          </w:p>
        </w:tc>
        <w:tc>
          <w:tcPr>
            <w:tcW w:w="0" w:type="auto"/>
            <w:tcBorders>
              <w:top w:val="nil"/>
              <w:left w:val="nil"/>
              <w:bottom w:val="single" w:color="auto" w:sz="4" w:space="0"/>
              <w:right w:val="single" w:color="auto" w:sz="4" w:space="0"/>
            </w:tcBorders>
            <w:shd w:val="clear" w:color="auto" w:fill="auto"/>
            <w:vAlign w:val="center"/>
          </w:tcPr>
          <w:p w14:paraId="1E0B8B1E">
            <w:pPr>
              <w:widowControl/>
              <w:jc w:val="center"/>
              <w:rPr>
                <w:rFonts w:ascii="宋体" w:hAnsi="宋体" w:cs="宋体"/>
                <w:color w:val="000000"/>
                <w:kern w:val="0"/>
                <w:sz w:val="22"/>
                <w:szCs w:val="22"/>
              </w:rPr>
            </w:pPr>
            <w:r>
              <w:rPr>
                <w:rFonts w:hint="eastAsia" w:ascii="宋体" w:hAnsi="宋体" w:cs="宋体"/>
                <w:color w:val="000000"/>
                <w:kern w:val="0"/>
                <w:sz w:val="22"/>
                <w:szCs w:val="22"/>
              </w:rPr>
              <w:t>设计费分项报价（元）</w:t>
            </w:r>
          </w:p>
        </w:tc>
      </w:tr>
      <w:tr w14:paraId="3E81D805">
        <w:tblPrEx>
          <w:tblCellMar>
            <w:top w:w="0" w:type="dxa"/>
            <w:left w:w="108" w:type="dxa"/>
            <w:bottom w:w="0" w:type="dxa"/>
            <w:right w:w="108" w:type="dxa"/>
          </w:tblCellMar>
        </w:tblPrEx>
        <w:trPr>
          <w:trHeight w:val="87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51416CDB">
            <w:pPr>
              <w:widowControl/>
              <w:jc w:val="center"/>
              <w:rPr>
                <w:rFonts w:ascii="宋体" w:hAnsi="宋体" w:cs="宋体"/>
                <w:color w:val="000000"/>
                <w:kern w:val="0"/>
                <w:sz w:val="22"/>
                <w:szCs w:val="22"/>
              </w:rPr>
            </w:pPr>
            <w:r>
              <w:rPr>
                <w:rFonts w:hint="eastAsia" w:ascii="宋体" w:hAnsi="宋体" w:cs="宋体"/>
                <w:color w:val="000000"/>
                <w:kern w:val="0"/>
                <w:sz w:val="22"/>
                <w:szCs w:val="22"/>
              </w:rPr>
              <w:t>1</w:t>
            </w:r>
          </w:p>
        </w:tc>
        <w:tc>
          <w:tcPr>
            <w:tcW w:w="0" w:type="auto"/>
            <w:tcBorders>
              <w:top w:val="nil"/>
              <w:left w:val="nil"/>
              <w:bottom w:val="single" w:color="auto" w:sz="4" w:space="0"/>
              <w:right w:val="single" w:color="auto" w:sz="4" w:space="0"/>
            </w:tcBorders>
            <w:shd w:val="clear" w:color="auto" w:fill="auto"/>
            <w:vAlign w:val="center"/>
          </w:tcPr>
          <w:p w14:paraId="55F9DFC1">
            <w:pPr>
              <w:widowControl/>
              <w:jc w:val="center"/>
              <w:rPr>
                <w:rFonts w:ascii="宋体" w:hAnsi="宋体" w:cs="宋体"/>
                <w:color w:val="000000"/>
                <w:kern w:val="0"/>
                <w:sz w:val="22"/>
                <w:szCs w:val="22"/>
              </w:rPr>
            </w:pPr>
            <w:r>
              <w:rPr>
                <w:rFonts w:hint="eastAsia" w:ascii="宋体" w:hAnsi="宋体" w:cs="宋体"/>
                <w:color w:val="000000"/>
                <w:kern w:val="0"/>
                <w:sz w:val="22"/>
                <w:szCs w:val="22"/>
              </w:rPr>
              <w:t>一至五层医院门急诊区、门诊区、住院区</w:t>
            </w:r>
          </w:p>
        </w:tc>
        <w:tc>
          <w:tcPr>
            <w:tcW w:w="0" w:type="auto"/>
            <w:tcBorders>
              <w:top w:val="nil"/>
              <w:left w:val="nil"/>
              <w:bottom w:val="single" w:color="auto" w:sz="4" w:space="0"/>
              <w:right w:val="single" w:color="auto" w:sz="4" w:space="0"/>
            </w:tcBorders>
            <w:shd w:val="clear" w:color="auto" w:fill="auto"/>
            <w:vAlign w:val="center"/>
          </w:tcPr>
          <w:p w14:paraId="6E09D2EA">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0" w:type="auto"/>
            <w:tcBorders>
              <w:top w:val="nil"/>
              <w:left w:val="nil"/>
              <w:bottom w:val="single" w:color="auto" w:sz="4" w:space="0"/>
              <w:right w:val="single" w:color="auto" w:sz="4" w:space="0"/>
            </w:tcBorders>
            <w:shd w:val="clear" w:color="auto" w:fill="auto"/>
            <w:vAlign w:val="center"/>
          </w:tcPr>
          <w:p w14:paraId="09ED591E">
            <w:pPr>
              <w:widowControl/>
              <w:jc w:val="center"/>
              <w:rPr>
                <w:rFonts w:ascii="宋体" w:hAnsi="宋体" w:cs="宋体"/>
                <w:color w:val="000000"/>
                <w:kern w:val="0"/>
                <w:sz w:val="22"/>
                <w:szCs w:val="22"/>
              </w:rPr>
            </w:pPr>
            <w:r>
              <w:rPr>
                <w:rFonts w:hint="eastAsia" w:ascii="宋体" w:hAnsi="宋体" w:cs="宋体"/>
                <w:color w:val="000000"/>
                <w:kern w:val="0"/>
                <w:sz w:val="22"/>
                <w:szCs w:val="22"/>
              </w:rPr>
              <w:t>31200</w:t>
            </w:r>
          </w:p>
        </w:tc>
        <w:tc>
          <w:tcPr>
            <w:tcW w:w="0" w:type="auto"/>
            <w:tcBorders>
              <w:top w:val="nil"/>
              <w:left w:val="nil"/>
              <w:bottom w:val="single" w:color="auto" w:sz="4" w:space="0"/>
              <w:right w:val="single" w:color="auto" w:sz="4" w:space="0"/>
            </w:tcBorders>
            <w:shd w:val="clear" w:color="auto" w:fill="auto"/>
            <w:vAlign w:val="center"/>
          </w:tcPr>
          <w:p w14:paraId="71807BFB">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69215334">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6F051FE0">
        <w:tblPrEx>
          <w:tblCellMar>
            <w:top w:w="0" w:type="dxa"/>
            <w:left w:w="108" w:type="dxa"/>
            <w:bottom w:w="0" w:type="dxa"/>
            <w:right w:w="108" w:type="dxa"/>
          </w:tblCellMar>
        </w:tblPrEx>
        <w:trPr>
          <w:trHeight w:val="1320" w:hRule="atLeast"/>
        </w:trPr>
        <w:tc>
          <w:tcPr>
            <w:tcW w:w="0" w:type="auto"/>
            <w:tcBorders>
              <w:top w:val="nil"/>
              <w:left w:val="single" w:color="auto" w:sz="4" w:space="0"/>
              <w:bottom w:val="single" w:color="auto" w:sz="4" w:space="0"/>
              <w:right w:val="single" w:color="auto" w:sz="4" w:space="0"/>
            </w:tcBorders>
            <w:shd w:val="clear" w:color="auto" w:fill="auto"/>
            <w:vAlign w:val="center"/>
          </w:tcPr>
          <w:p w14:paraId="16490166">
            <w:pPr>
              <w:widowControl/>
              <w:jc w:val="center"/>
              <w:rPr>
                <w:rFonts w:ascii="宋体" w:hAnsi="宋体" w:cs="宋体"/>
                <w:color w:val="000000"/>
                <w:kern w:val="0"/>
                <w:sz w:val="22"/>
                <w:szCs w:val="22"/>
              </w:rPr>
            </w:pPr>
            <w:r>
              <w:rPr>
                <w:rFonts w:hint="eastAsia" w:ascii="宋体" w:hAnsi="宋体" w:cs="宋体"/>
                <w:color w:val="000000"/>
                <w:kern w:val="0"/>
                <w:sz w:val="22"/>
                <w:szCs w:val="22"/>
              </w:rPr>
              <w:t>2</w:t>
            </w:r>
          </w:p>
        </w:tc>
        <w:tc>
          <w:tcPr>
            <w:tcW w:w="0" w:type="auto"/>
            <w:tcBorders>
              <w:top w:val="nil"/>
              <w:left w:val="nil"/>
              <w:bottom w:val="single" w:color="auto" w:sz="4" w:space="0"/>
              <w:right w:val="single" w:color="auto" w:sz="4" w:space="0"/>
            </w:tcBorders>
            <w:shd w:val="clear" w:color="auto" w:fill="auto"/>
            <w:vAlign w:val="center"/>
          </w:tcPr>
          <w:p w14:paraId="09C767C5">
            <w:pPr>
              <w:widowControl/>
              <w:jc w:val="center"/>
              <w:rPr>
                <w:rFonts w:ascii="宋体" w:hAnsi="宋体" w:cs="宋体"/>
                <w:color w:val="000000"/>
                <w:kern w:val="0"/>
                <w:sz w:val="22"/>
                <w:szCs w:val="22"/>
              </w:rPr>
            </w:pPr>
            <w:r>
              <w:rPr>
                <w:rFonts w:hint="eastAsia" w:ascii="宋体" w:hAnsi="宋体" w:cs="宋体"/>
                <w:color w:val="000000"/>
                <w:kern w:val="0"/>
                <w:sz w:val="22"/>
                <w:szCs w:val="22"/>
              </w:rPr>
              <w:t>地下层、附楼（包括但不限于食堂、车库、办公区、后勤保障、业务管理、其他配套用房等）</w:t>
            </w:r>
          </w:p>
        </w:tc>
        <w:tc>
          <w:tcPr>
            <w:tcW w:w="0" w:type="auto"/>
            <w:tcBorders>
              <w:top w:val="nil"/>
              <w:left w:val="nil"/>
              <w:bottom w:val="single" w:color="auto" w:sz="4" w:space="0"/>
              <w:right w:val="single" w:color="auto" w:sz="4" w:space="0"/>
            </w:tcBorders>
            <w:shd w:val="clear" w:color="auto" w:fill="auto"/>
            <w:vAlign w:val="center"/>
          </w:tcPr>
          <w:p w14:paraId="41E4AF82">
            <w:pPr>
              <w:widowControl/>
              <w:jc w:val="center"/>
              <w:rPr>
                <w:rFonts w:ascii="宋体" w:hAnsi="宋体" w:cs="宋体"/>
                <w:color w:val="000000"/>
                <w:kern w:val="0"/>
                <w:sz w:val="22"/>
                <w:szCs w:val="22"/>
              </w:rPr>
            </w:pPr>
            <w:r>
              <w:rPr>
                <w:rFonts w:hint="eastAsia" w:ascii="宋体" w:hAnsi="宋体" w:cs="宋体"/>
                <w:color w:val="000000"/>
                <w:kern w:val="0"/>
                <w:sz w:val="22"/>
                <w:szCs w:val="22"/>
              </w:rPr>
              <w:t>平方米</w:t>
            </w:r>
          </w:p>
        </w:tc>
        <w:tc>
          <w:tcPr>
            <w:tcW w:w="0" w:type="auto"/>
            <w:tcBorders>
              <w:top w:val="nil"/>
              <w:left w:val="nil"/>
              <w:bottom w:val="single" w:color="auto" w:sz="4" w:space="0"/>
              <w:right w:val="single" w:color="auto" w:sz="4" w:space="0"/>
            </w:tcBorders>
            <w:shd w:val="clear" w:color="auto" w:fill="auto"/>
            <w:vAlign w:val="center"/>
          </w:tcPr>
          <w:p w14:paraId="7D2DD7E1">
            <w:pPr>
              <w:widowControl/>
              <w:jc w:val="center"/>
              <w:rPr>
                <w:rFonts w:ascii="宋体" w:hAnsi="宋体" w:cs="宋体"/>
                <w:color w:val="000000"/>
                <w:kern w:val="0"/>
                <w:sz w:val="22"/>
                <w:szCs w:val="22"/>
              </w:rPr>
            </w:pPr>
            <w:r>
              <w:rPr>
                <w:rFonts w:hint="eastAsia" w:ascii="宋体" w:hAnsi="宋体" w:cs="宋体"/>
                <w:color w:val="000000"/>
                <w:kern w:val="0"/>
                <w:sz w:val="22"/>
                <w:szCs w:val="22"/>
              </w:rPr>
              <w:t>5100</w:t>
            </w:r>
          </w:p>
        </w:tc>
        <w:tc>
          <w:tcPr>
            <w:tcW w:w="0" w:type="auto"/>
            <w:tcBorders>
              <w:top w:val="nil"/>
              <w:left w:val="nil"/>
              <w:bottom w:val="single" w:color="auto" w:sz="4" w:space="0"/>
              <w:right w:val="single" w:color="auto" w:sz="4" w:space="0"/>
            </w:tcBorders>
            <w:shd w:val="clear" w:color="auto" w:fill="auto"/>
            <w:vAlign w:val="center"/>
          </w:tcPr>
          <w:p w14:paraId="62BFC1C8">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7179F6FC">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14:paraId="2672C119">
        <w:tblPrEx>
          <w:tblCellMar>
            <w:top w:w="0" w:type="dxa"/>
            <w:left w:w="108" w:type="dxa"/>
            <w:bottom w:w="0" w:type="dxa"/>
            <w:right w:w="108" w:type="dxa"/>
          </w:tblCellMar>
        </w:tblPrEx>
        <w:trPr>
          <w:trHeight w:val="780"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14:paraId="32A4B7CE">
            <w:pPr>
              <w:widowControl/>
              <w:jc w:val="center"/>
              <w:rPr>
                <w:rFonts w:ascii="宋体" w:hAnsi="宋体" w:cs="宋体"/>
                <w:color w:val="000000"/>
                <w:kern w:val="0"/>
                <w:sz w:val="22"/>
                <w:szCs w:val="22"/>
              </w:rPr>
            </w:pPr>
            <w:r>
              <w:rPr>
                <w:rFonts w:hint="eastAsia" w:ascii="宋体" w:hAnsi="宋体" w:cs="宋体"/>
                <w:color w:val="000000"/>
                <w:kern w:val="0"/>
                <w:sz w:val="22"/>
                <w:szCs w:val="22"/>
              </w:rPr>
              <w:t>投标总报价</w:t>
            </w:r>
          </w:p>
        </w:tc>
        <w:tc>
          <w:tcPr>
            <w:tcW w:w="0" w:type="auto"/>
            <w:tcBorders>
              <w:top w:val="nil"/>
              <w:left w:val="nil"/>
              <w:bottom w:val="single" w:color="auto" w:sz="4" w:space="0"/>
              <w:right w:val="single" w:color="auto" w:sz="4" w:space="0"/>
            </w:tcBorders>
            <w:shd w:val="clear" w:color="auto" w:fill="auto"/>
            <w:vAlign w:val="center"/>
          </w:tcPr>
          <w:p w14:paraId="742C352C">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5F00C2EE">
            <w:pPr>
              <w:widowControl/>
              <w:jc w:val="center"/>
              <w:rPr>
                <w:rFonts w:ascii="宋体" w:hAnsi="宋体" w:cs="宋体"/>
                <w:color w:val="000000"/>
                <w:kern w:val="0"/>
                <w:sz w:val="22"/>
                <w:szCs w:val="22"/>
              </w:rPr>
            </w:pPr>
            <w:r>
              <w:rPr>
                <w:rFonts w:hint="eastAsia" w:ascii="宋体" w:hAnsi="宋体" w:cs="宋体"/>
                <w:color w:val="000000"/>
                <w:kern w:val="0"/>
                <w:sz w:val="22"/>
                <w:szCs w:val="22"/>
              </w:rPr>
              <w:t>36300</w:t>
            </w:r>
          </w:p>
        </w:tc>
        <w:tc>
          <w:tcPr>
            <w:tcW w:w="0" w:type="auto"/>
            <w:tcBorders>
              <w:top w:val="nil"/>
              <w:left w:val="nil"/>
              <w:bottom w:val="single" w:color="auto" w:sz="4" w:space="0"/>
              <w:right w:val="single" w:color="auto" w:sz="4" w:space="0"/>
            </w:tcBorders>
            <w:shd w:val="clear" w:color="auto" w:fill="auto"/>
            <w:vAlign w:val="center"/>
          </w:tcPr>
          <w:p w14:paraId="3B431EAB">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0" w:type="auto"/>
            <w:tcBorders>
              <w:top w:val="nil"/>
              <w:left w:val="nil"/>
              <w:bottom w:val="single" w:color="auto" w:sz="4" w:space="0"/>
              <w:right w:val="single" w:color="auto" w:sz="4" w:space="0"/>
            </w:tcBorders>
            <w:shd w:val="clear" w:color="auto" w:fill="auto"/>
            <w:vAlign w:val="center"/>
          </w:tcPr>
          <w:p w14:paraId="18FC69C7">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bl>
    <w:p w14:paraId="5FE39FAB">
      <w:pPr>
        <w:widowControl/>
        <w:jc w:val="left"/>
        <w:rPr>
          <w:color w:val="000000"/>
          <w:sz w:val="28"/>
          <w:szCs w:val="28"/>
        </w:rPr>
      </w:pPr>
      <w:r>
        <w:rPr>
          <w:color w:val="000000"/>
          <w:sz w:val="28"/>
          <w:szCs w:val="28"/>
        </w:rPr>
        <w:br w:type="page"/>
      </w:r>
    </w:p>
    <w:p w14:paraId="413B5D71">
      <w:pPr>
        <w:rPr>
          <w:color w:val="000000"/>
          <w:sz w:val="28"/>
          <w:szCs w:val="28"/>
        </w:rPr>
      </w:pPr>
    </w:p>
    <w:p w14:paraId="2F59DB9B">
      <w:pPr>
        <w:rPr>
          <w:rFonts w:ascii="宋体" w:hAnsi="宋体"/>
          <w:b/>
          <w:color w:val="000000"/>
          <w:sz w:val="28"/>
          <w:szCs w:val="28"/>
        </w:rPr>
      </w:pPr>
      <w:r>
        <w:rPr>
          <w:rFonts w:hint="eastAsia" w:ascii="宋体" w:hAnsi="宋体"/>
          <w:b/>
          <w:color w:val="000000"/>
          <w:sz w:val="28"/>
          <w:szCs w:val="28"/>
        </w:rPr>
        <w:t>附件</w:t>
      </w:r>
      <w:r>
        <w:rPr>
          <w:rFonts w:ascii="宋体" w:hAnsi="宋体"/>
          <w:b/>
          <w:color w:val="000000"/>
          <w:sz w:val="28"/>
          <w:szCs w:val="28"/>
        </w:rPr>
        <w:t>3</w:t>
      </w:r>
      <w:r>
        <w:rPr>
          <w:rFonts w:hint="eastAsia" w:ascii="宋体" w:hAnsi="宋体"/>
          <w:b/>
          <w:color w:val="000000"/>
          <w:sz w:val="28"/>
          <w:szCs w:val="28"/>
        </w:rPr>
        <w:t>：</w:t>
      </w:r>
    </w:p>
    <w:p w14:paraId="70D145A9">
      <w:pPr>
        <w:widowControl/>
        <w:ind w:firstLine="480" w:firstLineChars="200"/>
        <w:jc w:val="center"/>
        <w:rPr>
          <w:rFonts w:ascii="方正仿宋_GBK" w:hAnsi="宋体" w:eastAsia="方正仿宋_GBK"/>
          <w:color w:val="FF0000"/>
          <w:sz w:val="24"/>
        </w:rPr>
      </w:pPr>
      <w:r>
        <w:rPr>
          <w:rFonts w:hint="eastAsia" w:ascii="方正仿宋_GBK" w:hAnsi="宋体" w:eastAsia="方正仿宋_GBK"/>
          <w:sz w:val="24"/>
        </w:rPr>
        <w:t>法定代表人身份证明书</w:t>
      </w:r>
    </w:p>
    <w:p w14:paraId="364DEB19">
      <w:pPr>
        <w:tabs>
          <w:tab w:val="left" w:pos="6300"/>
        </w:tabs>
        <w:snapToGrid w:val="0"/>
        <w:spacing w:line="500" w:lineRule="exact"/>
        <w:ind w:firstLine="570"/>
        <w:rPr>
          <w:rFonts w:ascii="方正仿宋_GBK" w:hAnsi="宋体" w:eastAsia="方正仿宋_GBK"/>
          <w:sz w:val="24"/>
        </w:rPr>
      </w:pPr>
    </w:p>
    <w:p w14:paraId="2548B3CA">
      <w:pPr>
        <w:tabs>
          <w:tab w:val="left" w:pos="6300"/>
        </w:tabs>
        <w:snapToGrid w:val="0"/>
        <w:spacing w:line="500" w:lineRule="exact"/>
        <w:ind w:firstLine="570"/>
        <w:rPr>
          <w:rFonts w:ascii="方正仿宋_GBK" w:hAnsi="宋体" w:eastAsia="方正仿宋_GBK"/>
          <w:sz w:val="24"/>
          <w:u w:val="single"/>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17FD192">
      <w:pPr>
        <w:tabs>
          <w:tab w:val="left" w:pos="6300"/>
        </w:tabs>
        <w:snapToGrid w:val="0"/>
        <w:spacing w:line="500" w:lineRule="exact"/>
        <w:ind w:firstLine="570"/>
        <w:rPr>
          <w:rFonts w:ascii="方正仿宋_GBK" w:hAnsi="宋体" w:eastAsia="方正仿宋_GBK"/>
          <w:sz w:val="24"/>
          <w:u w:val="single"/>
        </w:rPr>
      </w:pPr>
    </w:p>
    <w:p w14:paraId="4C5FCCCB">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（招标机构名称）：</w:t>
      </w:r>
    </w:p>
    <w:p w14:paraId="28DC2FD3">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（法定代表人姓名）在</w:t>
      </w:r>
      <w:r>
        <w:rPr>
          <w:rFonts w:hint="eastAsia" w:ascii="方正仿宋_GBK" w:hAnsi="宋体" w:eastAsia="方正仿宋_GBK"/>
          <w:sz w:val="24"/>
          <w:u w:val="single"/>
        </w:rPr>
        <w:t xml:space="preserve">                       </w:t>
      </w:r>
      <w:r>
        <w:rPr>
          <w:rFonts w:hint="eastAsia" w:ascii="方正仿宋_GBK" w:hAnsi="宋体" w:eastAsia="方正仿宋_GBK"/>
          <w:sz w:val="24"/>
        </w:rPr>
        <w:t>（投标人名称）任</w:t>
      </w:r>
      <w:r>
        <w:rPr>
          <w:rFonts w:hint="eastAsia" w:ascii="方正仿宋_GBK" w:hAnsi="宋体" w:eastAsia="方正仿宋_GBK"/>
          <w:sz w:val="24"/>
          <w:u w:val="single"/>
        </w:rPr>
        <w:t xml:space="preserve">    </w:t>
      </w:r>
      <w:r>
        <w:rPr>
          <w:rFonts w:hint="eastAsia" w:ascii="方正仿宋_GBK" w:hAnsi="宋体" w:eastAsia="方正仿宋_GBK"/>
          <w:sz w:val="24"/>
        </w:rPr>
        <w:t>（职务名称）职务，是（投标人名称）</w:t>
      </w:r>
      <w:r>
        <w:rPr>
          <w:rFonts w:hint="eastAsia" w:ascii="方正仿宋_GBK" w:hAnsi="宋体" w:eastAsia="方正仿宋_GBK"/>
          <w:sz w:val="24"/>
          <w:u w:val="single"/>
        </w:rPr>
        <w:t xml:space="preserve">              </w:t>
      </w:r>
      <w:r>
        <w:rPr>
          <w:rFonts w:hint="eastAsia" w:ascii="方正仿宋_GBK" w:hAnsi="宋体" w:eastAsia="方正仿宋_GBK"/>
          <w:sz w:val="24"/>
        </w:rPr>
        <w:t>的法定代表人。</w:t>
      </w:r>
    </w:p>
    <w:p w14:paraId="55E96CFD">
      <w:pPr>
        <w:tabs>
          <w:tab w:val="left" w:pos="6300"/>
        </w:tabs>
        <w:snapToGrid w:val="0"/>
        <w:spacing w:line="500" w:lineRule="exact"/>
        <w:ind w:firstLine="570"/>
        <w:rPr>
          <w:rFonts w:ascii="方正仿宋_GBK" w:hAnsi="宋体" w:eastAsia="方正仿宋_GBK"/>
          <w:sz w:val="24"/>
        </w:rPr>
      </w:pPr>
    </w:p>
    <w:p w14:paraId="578C27E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特此证明。</w:t>
      </w:r>
    </w:p>
    <w:p w14:paraId="7A5CFFCF">
      <w:pPr>
        <w:tabs>
          <w:tab w:val="left" w:pos="6300"/>
        </w:tabs>
        <w:snapToGrid w:val="0"/>
        <w:spacing w:line="500" w:lineRule="exact"/>
        <w:ind w:firstLine="570"/>
        <w:rPr>
          <w:rFonts w:ascii="方正仿宋_GBK" w:hAnsi="宋体" w:eastAsia="方正仿宋_GBK"/>
          <w:sz w:val="24"/>
        </w:rPr>
      </w:pPr>
    </w:p>
    <w:p w14:paraId="39959E9B">
      <w:pPr>
        <w:tabs>
          <w:tab w:val="left" w:pos="6300"/>
        </w:tabs>
        <w:snapToGrid w:val="0"/>
        <w:spacing w:line="500" w:lineRule="exact"/>
        <w:ind w:firstLine="570"/>
        <w:rPr>
          <w:rFonts w:ascii="方正仿宋_GBK" w:hAnsi="宋体" w:eastAsia="方正仿宋_GBK"/>
          <w:sz w:val="24"/>
        </w:rPr>
      </w:pPr>
    </w:p>
    <w:p w14:paraId="7CFEBB0F">
      <w:pPr>
        <w:tabs>
          <w:tab w:val="left" w:pos="6300"/>
        </w:tabs>
        <w:snapToGrid w:val="0"/>
        <w:spacing w:line="500" w:lineRule="exact"/>
        <w:ind w:firstLine="570"/>
        <w:rPr>
          <w:rFonts w:ascii="方正仿宋_GBK" w:hAnsi="宋体" w:eastAsia="方正仿宋_GBK"/>
          <w:sz w:val="24"/>
        </w:rPr>
      </w:pPr>
    </w:p>
    <w:p w14:paraId="5E4D1551">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（投标人公章）</w:t>
      </w:r>
    </w:p>
    <w:p w14:paraId="7C18BB84">
      <w:pPr>
        <w:tabs>
          <w:tab w:val="left" w:pos="6300"/>
        </w:tabs>
        <w:snapToGrid w:val="0"/>
        <w:spacing w:line="500" w:lineRule="exact"/>
        <w:ind w:firstLine="570"/>
        <w:rPr>
          <w:rFonts w:ascii="方正仿宋_GBK" w:hAnsi="宋体" w:eastAsia="方正仿宋_GBK"/>
          <w:sz w:val="24"/>
        </w:rPr>
      </w:pPr>
    </w:p>
    <w:p w14:paraId="597D86E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年   月   日</w:t>
      </w:r>
    </w:p>
    <w:p w14:paraId="53E26219">
      <w:pPr>
        <w:tabs>
          <w:tab w:val="left" w:pos="6300"/>
        </w:tabs>
        <w:snapToGrid w:val="0"/>
        <w:spacing w:line="500" w:lineRule="exact"/>
        <w:ind w:firstLine="570"/>
        <w:rPr>
          <w:rFonts w:ascii="方正仿宋_GBK" w:hAnsi="宋体" w:eastAsia="方正仿宋_GBK"/>
          <w:sz w:val="24"/>
        </w:rPr>
      </w:pPr>
    </w:p>
    <w:p w14:paraId="1BC2C387">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（附：法定代表人身份证正反面复印件）</w:t>
      </w:r>
    </w:p>
    <w:p w14:paraId="48BE970A">
      <w:pPr>
        <w:tabs>
          <w:tab w:val="left" w:pos="6300"/>
        </w:tabs>
        <w:snapToGrid w:val="0"/>
        <w:spacing w:line="500" w:lineRule="exact"/>
        <w:ind w:firstLine="570"/>
        <w:rPr>
          <w:rFonts w:ascii="方正仿宋_GBK" w:hAnsi="宋体" w:eastAsia="方正仿宋_GBK"/>
          <w:sz w:val="24"/>
        </w:rPr>
      </w:pPr>
    </w:p>
    <w:p w14:paraId="12E11E51">
      <w:pPr>
        <w:tabs>
          <w:tab w:val="left" w:pos="6300"/>
        </w:tabs>
        <w:snapToGrid w:val="0"/>
        <w:spacing w:line="500" w:lineRule="exact"/>
        <w:ind w:firstLine="570"/>
        <w:rPr>
          <w:rFonts w:ascii="方正仿宋_GBK" w:hAnsi="宋体" w:eastAsia="方正仿宋_GBK"/>
          <w:sz w:val="24"/>
        </w:rPr>
      </w:pPr>
    </w:p>
    <w:p w14:paraId="037027CD">
      <w:pPr>
        <w:tabs>
          <w:tab w:val="left" w:pos="6300"/>
        </w:tabs>
        <w:snapToGrid w:val="0"/>
        <w:spacing w:line="500" w:lineRule="exact"/>
        <w:ind w:firstLine="570"/>
        <w:rPr>
          <w:rFonts w:ascii="方正仿宋_GBK" w:hAnsi="宋体" w:eastAsia="方正仿宋_GBK"/>
          <w:sz w:val="24"/>
        </w:rPr>
      </w:pPr>
    </w:p>
    <w:p w14:paraId="0AF09E48">
      <w:pPr>
        <w:tabs>
          <w:tab w:val="left" w:pos="6300"/>
        </w:tabs>
        <w:snapToGrid w:val="0"/>
        <w:spacing w:line="500" w:lineRule="exact"/>
        <w:ind w:firstLine="570"/>
        <w:rPr>
          <w:rFonts w:ascii="方正仿宋_GBK" w:hAnsi="宋体" w:eastAsia="方正仿宋_GBK"/>
          <w:sz w:val="24"/>
        </w:rPr>
      </w:pPr>
    </w:p>
    <w:p w14:paraId="30A334D5">
      <w:pPr>
        <w:tabs>
          <w:tab w:val="left" w:pos="6300"/>
        </w:tabs>
        <w:snapToGrid w:val="0"/>
        <w:spacing w:line="500" w:lineRule="exact"/>
        <w:rPr>
          <w:rFonts w:ascii="方正仿宋_GBK" w:hAnsi="宋体" w:eastAsia="方正仿宋_GBK"/>
          <w:sz w:val="24"/>
        </w:rPr>
      </w:pPr>
    </w:p>
    <w:p w14:paraId="7819C5F8">
      <w:pPr>
        <w:tabs>
          <w:tab w:val="left" w:pos="6300"/>
        </w:tabs>
        <w:snapToGrid w:val="0"/>
        <w:spacing w:line="500" w:lineRule="exact"/>
        <w:ind w:firstLine="570"/>
        <w:jc w:val="center"/>
        <w:rPr>
          <w:rFonts w:ascii="方正仿宋_GBK" w:hAnsi="宋体" w:eastAsia="方正仿宋_GBK"/>
          <w:sz w:val="24"/>
        </w:rPr>
      </w:pPr>
      <w:r>
        <w:rPr>
          <w:sz w:val="24"/>
        </w:rPr>
        <w:br w:type="column"/>
      </w:r>
      <w:r>
        <w:rPr>
          <w:rFonts w:hint="eastAsia" w:ascii="方正仿宋_GBK" w:hAnsi="宋体" w:eastAsia="方正仿宋_GBK"/>
          <w:sz w:val="24"/>
        </w:rPr>
        <w:t>法定代表人授权委托书</w:t>
      </w:r>
    </w:p>
    <w:p w14:paraId="1D282FF9">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 xml:space="preserve">    </w:t>
      </w:r>
    </w:p>
    <w:p w14:paraId="37FCCF8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项目名称：</w:t>
      </w:r>
      <w:r>
        <w:rPr>
          <w:rFonts w:hint="eastAsia" w:ascii="方正仿宋_GBK" w:hAnsi="宋体" w:eastAsia="方正仿宋_GBK"/>
          <w:sz w:val="24"/>
          <w:u w:val="single"/>
        </w:rPr>
        <w:t xml:space="preserve">                                                </w:t>
      </w:r>
    </w:p>
    <w:p w14:paraId="1D5CAD94">
      <w:pPr>
        <w:tabs>
          <w:tab w:val="left" w:pos="6300"/>
        </w:tabs>
        <w:snapToGrid w:val="0"/>
        <w:spacing w:line="500" w:lineRule="exact"/>
        <w:ind w:firstLine="570"/>
        <w:rPr>
          <w:rFonts w:ascii="方正仿宋_GBK" w:hAnsi="宋体" w:eastAsia="方正仿宋_GBK"/>
          <w:sz w:val="24"/>
        </w:rPr>
      </w:pPr>
    </w:p>
    <w:p w14:paraId="7DA92477">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致：</w:t>
      </w:r>
      <w:r>
        <w:rPr>
          <w:rFonts w:hint="eastAsia" w:ascii="方正仿宋_GBK" w:hAnsi="宋体" w:eastAsia="方正仿宋_GBK"/>
          <w:sz w:val="24"/>
          <w:u w:val="single"/>
        </w:rPr>
        <w:t xml:space="preserve">                     </w:t>
      </w:r>
      <w:r>
        <w:rPr>
          <w:rFonts w:hint="eastAsia" w:ascii="方正仿宋_GBK" w:hAnsi="宋体" w:eastAsia="方正仿宋_GBK"/>
          <w:sz w:val="24"/>
        </w:rPr>
        <w:t>（招标人机构名称）：</w:t>
      </w:r>
    </w:p>
    <w:p w14:paraId="6B9BB8C5">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u w:val="single"/>
        </w:rPr>
        <w:t xml:space="preserve">            </w:t>
      </w:r>
      <w:r>
        <w:rPr>
          <w:rFonts w:hint="eastAsia" w:ascii="方正仿宋_GBK" w:hAnsi="宋体" w:eastAsia="方正仿宋_GBK"/>
          <w:sz w:val="24"/>
        </w:rPr>
        <w:t>（投标人法定代表人名称）是</w:t>
      </w:r>
      <w:r>
        <w:rPr>
          <w:rFonts w:hint="eastAsia" w:ascii="方正仿宋_GBK" w:hAnsi="宋体" w:eastAsia="方正仿宋_GBK"/>
          <w:sz w:val="24"/>
          <w:u w:val="single"/>
        </w:rPr>
        <w:t xml:space="preserve">                    </w:t>
      </w:r>
      <w:r>
        <w:rPr>
          <w:rFonts w:hint="eastAsia" w:ascii="方正仿宋_GBK" w:hAnsi="宋体" w:eastAsia="方正仿宋_GBK"/>
          <w:sz w:val="24"/>
        </w:rPr>
        <w:t>（投标人名称）的法定代表人，特授权</w:t>
      </w:r>
      <w:r>
        <w:rPr>
          <w:rFonts w:hint="eastAsia" w:ascii="方正仿宋_GBK" w:hAnsi="宋体" w:eastAsia="方正仿宋_GBK"/>
          <w:sz w:val="24"/>
          <w:u w:val="single"/>
        </w:rPr>
        <w:t xml:space="preserve">          </w:t>
      </w:r>
      <w:r>
        <w:rPr>
          <w:rFonts w:hint="eastAsia" w:ascii="方正仿宋_GBK" w:hAnsi="宋体" w:eastAsia="方正仿宋_GBK"/>
          <w:sz w:val="24"/>
        </w:rPr>
        <w:t>（被授权人姓名及身份证代码）代表我单位全权办理上述项目的比选、签约等具体工作，并签署全部有关文件、协议及合同。</w:t>
      </w:r>
    </w:p>
    <w:p w14:paraId="4620CD7A">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我单位对被授权人的签字负全部责任。</w:t>
      </w:r>
    </w:p>
    <w:p w14:paraId="7C449DD3">
      <w:pPr>
        <w:tabs>
          <w:tab w:val="left" w:pos="6300"/>
        </w:tabs>
        <w:snapToGrid w:val="0"/>
        <w:spacing w:line="500" w:lineRule="exact"/>
        <w:ind w:firstLine="480" w:firstLineChars="200"/>
        <w:rPr>
          <w:rFonts w:ascii="方正仿宋_GBK" w:hAnsi="宋体" w:eastAsia="方正仿宋_GBK"/>
          <w:sz w:val="24"/>
        </w:rPr>
      </w:pPr>
      <w:r>
        <w:rPr>
          <w:rFonts w:hint="eastAsia" w:ascii="方正仿宋_GBK" w:hAnsi="宋体" w:eastAsia="方正仿宋_GBK"/>
          <w:sz w:val="24"/>
        </w:rPr>
        <w:t>在撤消授权的书面通知以前，本授权书一直有效。被授权人在授权书有效期内签署的所有文件不因授权的撤消而失效。</w:t>
      </w:r>
    </w:p>
    <w:p w14:paraId="498D271E">
      <w:pPr>
        <w:tabs>
          <w:tab w:val="left" w:pos="6300"/>
        </w:tabs>
        <w:snapToGrid w:val="0"/>
        <w:spacing w:line="500" w:lineRule="exact"/>
        <w:ind w:firstLine="570"/>
        <w:rPr>
          <w:rFonts w:ascii="方正仿宋_GBK" w:hAnsi="宋体" w:eastAsia="方正仿宋_GBK"/>
          <w:sz w:val="24"/>
        </w:rPr>
      </w:pPr>
    </w:p>
    <w:p w14:paraId="7681A3FC">
      <w:pPr>
        <w:tabs>
          <w:tab w:val="left" w:pos="6300"/>
        </w:tabs>
        <w:snapToGrid w:val="0"/>
        <w:spacing w:line="500" w:lineRule="exact"/>
        <w:ind w:firstLine="570"/>
        <w:rPr>
          <w:rFonts w:ascii="方正仿宋_GBK" w:hAnsi="宋体" w:eastAsia="方正仿宋_GBK"/>
          <w:sz w:val="24"/>
        </w:rPr>
      </w:pPr>
    </w:p>
    <w:p w14:paraId="2ABBED1A">
      <w:pPr>
        <w:tabs>
          <w:tab w:val="left" w:pos="6300"/>
        </w:tabs>
        <w:snapToGrid w:val="0"/>
        <w:spacing w:line="500" w:lineRule="exact"/>
        <w:ind w:firstLine="570"/>
        <w:rPr>
          <w:rFonts w:ascii="方正仿宋_GBK" w:hAnsi="宋体" w:eastAsia="方正仿宋_GBK"/>
          <w:sz w:val="24"/>
        </w:rPr>
      </w:pPr>
      <w:r>
        <w:rPr>
          <w:rFonts w:hint="eastAsia" w:ascii="方正仿宋_GBK" w:hAnsi="宋体" w:eastAsia="方正仿宋_GBK"/>
          <w:sz w:val="24"/>
        </w:rPr>
        <w:t>被授权人：                               投标人法定代表人：</w:t>
      </w:r>
    </w:p>
    <w:p w14:paraId="001D575D">
      <w:pPr>
        <w:rPr>
          <w:rFonts w:ascii="方正仿宋_GBK" w:hAnsi="宋体" w:eastAsia="方正仿宋_GBK"/>
          <w:sz w:val="24"/>
        </w:rPr>
      </w:pPr>
      <w:r>
        <w:rPr>
          <w:rFonts w:hint="eastAsia" w:ascii="方正仿宋_GBK" w:hAnsi="宋体" w:eastAsia="方正仿宋_GBK"/>
          <w:sz w:val="24"/>
        </w:rPr>
        <w:t>（签字或盖章）                                （签字或盖章）</w:t>
      </w:r>
    </w:p>
    <w:p w14:paraId="2F34A1DD">
      <w:pPr>
        <w:rPr>
          <w:rFonts w:ascii="方正仿宋_GBK" w:hAnsi="宋体" w:eastAsia="方正仿宋_GBK"/>
          <w:sz w:val="24"/>
        </w:rPr>
      </w:pPr>
      <w:r>
        <w:rPr>
          <w:rFonts w:hint="eastAsia" w:ascii="方正仿宋_GBK" w:hAnsi="宋体" w:eastAsia="方正仿宋_GBK"/>
          <w:sz w:val="24"/>
        </w:rPr>
        <w:t>附被</w:t>
      </w:r>
      <w:r>
        <w:rPr>
          <w:rFonts w:ascii="方正仿宋_GBK" w:hAnsi="宋体" w:eastAsia="方正仿宋_GBK"/>
          <w:sz w:val="24"/>
        </w:rPr>
        <w:t>授权人身份证复印件</w:t>
      </w:r>
    </w:p>
    <w:p w14:paraId="51806FCA">
      <w:pPr>
        <w:rPr>
          <w:rFonts w:ascii="方正仿宋_GBK" w:hAnsi="宋体" w:eastAsia="方正仿宋_GBK"/>
          <w:sz w:val="24"/>
        </w:rPr>
      </w:pPr>
    </w:p>
    <w:p w14:paraId="6BF04E73">
      <w:pPr>
        <w:rPr>
          <w:rFonts w:ascii="方正仿宋_GBK" w:hAnsi="宋体" w:eastAsia="方正仿宋_GBK"/>
          <w:sz w:val="24"/>
        </w:rPr>
      </w:pPr>
    </w:p>
    <w:p w14:paraId="66F25BE4">
      <w:pPr>
        <w:rPr>
          <w:rFonts w:ascii="方正仿宋_GBK" w:hAnsi="宋体" w:eastAsia="方正仿宋_GBK"/>
          <w:sz w:val="24"/>
        </w:rPr>
      </w:pPr>
    </w:p>
    <w:p w14:paraId="269A0B42">
      <w:pPr>
        <w:rPr>
          <w:rFonts w:ascii="方正仿宋_GBK" w:hAnsi="宋体" w:eastAsia="方正仿宋_GBK"/>
          <w:sz w:val="24"/>
        </w:rPr>
      </w:pPr>
    </w:p>
    <w:p w14:paraId="160223E3">
      <w:pPr>
        <w:rPr>
          <w:rFonts w:ascii="方正仿宋_GBK" w:hAnsi="宋体" w:eastAsia="方正仿宋_GBK"/>
          <w:sz w:val="24"/>
        </w:rPr>
      </w:pPr>
    </w:p>
    <w:p w14:paraId="3EA900AE">
      <w:pPr>
        <w:rPr>
          <w:rFonts w:ascii="方正仿宋_GBK" w:hAnsi="宋体" w:eastAsia="方正仿宋_GBK"/>
          <w:sz w:val="24"/>
        </w:rPr>
      </w:pPr>
    </w:p>
    <w:p w14:paraId="7F30E045">
      <w:pPr>
        <w:rPr>
          <w:rFonts w:ascii="方正仿宋_GBK" w:hAnsi="宋体" w:eastAsia="方正仿宋_GBK"/>
          <w:sz w:val="24"/>
        </w:rPr>
      </w:pPr>
    </w:p>
    <w:p w14:paraId="1B9A83CE">
      <w:pPr>
        <w:spacing w:line="600" w:lineRule="exact"/>
        <w:jc w:val="left"/>
        <w:rPr>
          <w:color w:val="000000"/>
          <w:sz w:val="28"/>
          <w:szCs w:val="28"/>
        </w:rPr>
      </w:pPr>
    </w:p>
    <w:p w14:paraId="26DCC53C">
      <w:pPr>
        <w:rPr>
          <w:rFonts w:ascii="宋体" w:hAnsi="宋体" w:cs="宋体"/>
          <w:color w:val="FF0000"/>
          <w:sz w:val="28"/>
          <w:szCs w:val="28"/>
        </w:rPr>
      </w:pPr>
      <w:r>
        <w:rPr>
          <w:rFonts w:hint="eastAsia"/>
          <w:color w:val="000000"/>
          <w:sz w:val="28"/>
          <w:szCs w:val="28"/>
        </w:rPr>
        <w:t>附件</w:t>
      </w:r>
      <w:r>
        <w:rPr>
          <w:color w:val="000000"/>
          <w:sz w:val="28"/>
          <w:szCs w:val="28"/>
        </w:rPr>
        <w:t>3</w:t>
      </w:r>
      <w:r>
        <w:rPr>
          <w:rFonts w:hint="eastAsia"/>
          <w:color w:val="000000"/>
          <w:sz w:val="28"/>
          <w:szCs w:val="28"/>
        </w:rPr>
        <w:t xml:space="preserve">                        </w:t>
      </w:r>
      <w:r>
        <w:rPr>
          <w:color w:val="000000"/>
          <w:sz w:val="28"/>
          <w:szCs w:val="28"/>
        </w:rPr>
        <w:t xml:space="preserve">   </w:t>
      </w:r>
      <w:r>
        <w:rPr>
          <w:rFonts w:hint="eastAsia"/>
          <w:color w:val="000000"/>
          <w:sz w:val="28"/>
          <w:szCs w:val="28"/>
        </w:rPr>
        <w:t xml:space="preserve"> 合同编号：</w:t>
      </w:r>
      <w:r>
        <w:rPr>
          <w:rFonts w:hint="eastAsia"/>
          <w:color w:val="FF0000"/>
          <w:sz w:val="28"/>
          <w:szCs w:val="28"/>
        </w:rPr>
        <w:t xml:space="preserve">                            </w:t>
      </w:r>
    </w:p>
    <w:p w14:paraId="78A4E718">
      <w:pPr>
        <w:spacing w:before="156" w:beforeLines="50"/>
        <w:jc w:val="center"/>
        <w:rPr>
          <w:rFonts w:ascii="黑体" w:eastAsia="黑体"/>
          <w:bCs/>
          <w:kern w:val="28"/>
          <w:sz w:val="62"/>
        </w:rPr>
      </w:pPr>
    </w:p>
    <w:p w14:paraId="0A6908DA">
      <w:pPr>
        <w:spacing w:before="156" w:beforeLines="50"/>
        <w:jc w:val="center"/>
        <w:rPr>
          <w:rFonts w:ascii="黑体" w:eastAsia="黑体"/>
          <w:bCs/>
          <w:kern w:val="28"/>
          <w:sz w:val="62"/>
        </w:rPr>
      </w:pPr>
      <w:r>
        <w:rPr>
          <w:rFonts w:hint="eastAsia" w:ascii="黑体" w:eastAsia="黑体"/>
          <w:bCs/>
          <w:kern w:val="28"/>
          <w:sz w:val="62"/>
        </w:rPr>
        <w:t>建设工程设计合同</w:t>
      </w:r>
    </w:p>
    <w:p w14:paraId="32F5BA2A">
      <w:pPr>
        <w:rPr>
          <w:kern w:val="28"/>
        </w:rPr>
      </w:pPr>
    </w:p>
    <w:p w14:paraId="3084AB56">
      <w:pPr>
        <w:rPr>
          <w:kern w:val="28"/>
        </w:rPr>
      </w:pPr>
    </w:p>
    <w:p w14:paraId="2D15948C">
      <w:pPr>
        <w:rPr>
          <w:kern w:val="28"/>
        </w:rPr>
      </w:pPr>
    </w:p>
    <w:p w14:paraId="320A6BDB">
      <w:pPr>
        <w:rPr>
          <w:kern w:val="28"/>
        </w:rPr>
      </w:pPr>
    </w:p>
    <w:p w14:paraId="15B01A50">
      <w:pPr>
        <w:rPr>
          <w:kern w:val="28"/>
        </w:rPr>
      </w:pPr>
    </w:p>
    <w:p w14:paraId="3821A62F">
      <w:pPr>
        <w:rPr>
          <w:kern w:val="28"/>
        </w:rPr>
      </w:pPr>
    </w:p>
    <w:p w14:paraId="132323A9">
      <w:pPr>
        <w:rPr>
          <w:kern w:val="28"/>
        </w:rPr>
      </w:pPr>
    </w:p>
    <w:p w14:paraId="345CBBC7">
      <w:pPr>
        <w:rPr>
          <w:kern w:val="28"/>
        </w:rPr>
      </w:pPr>
    </w:p>
    <w:p w14:paraId="1CEB6852">
      <w:pPr>
        <w:rPr>
          <w:kern w:val="28"/>
        </w:rPr>
      </w:pPr>
    </w:p>
    <w:p w14:paraId="5DD25085">
      <w:pPr>
        <w:rPr>
          <w:kern w:val="28"/>
        </w:rPr>
      </w:pPr>
    </w:p>
    <w:p w14:paraId="6867E02C">
      <w:pPr>
        <w:rPr>
          <w:kern w:val="28"/>
          <w:highlight w:val="none"/>
        </w:rPr>
      </w:pPr>
    </w:p>
    <w:p w14:paraId="3E5E51A3">
      <w:pPr>
        <w:rPr>
          <w:kern w:val="28"/>
          <w:highlight w:val="none"/>
        </w:rPr>
      </w:pPr>
    </w:p>
    <w:p w14:paraId="64489112">
      <w:pPr>
        <w:rPr>
          <w:kern w:val="28"/>
          <w:highlight w:val="none"/>
        </w:rPr>
      </w:pPr>
    </w:p>
    <w:p w14:paraId="4EF25BFF">
      <w:pPr>
        <w:rPr>
          <w:kern w:val="28"/>
          <w:highlight w:val="none"/>
        </w:rPr>
      </w:pPr>
    </w:p>
    <w:p w14:paraId="5A7AB205">
      <w:pPr>
        <w:spacing w:before="156" w:beforeLines="50" w:after="156" w:afterLines="50" w:line="480" w:lineRule="auto"/>
        <w:ind w:left="1500" w:right="565" w:hanging="1500" w:hangingChars="500"/>
        <w:rPr>
          <w:rFonts w:ascii="宋体" w:hAnsi="宋体" w:eastAsia="仿宋_GB2312"/>
          <w:b/>
          <w:color w:val="000000"/>
          <w:spacing w:val="-20"/>
          <w:kern w:val="28"/>
          <w:sz w:val="28"/>
          <w:szCs w:val="28"/>
          <w:highlight w:val="none"/>
          <w:u w:val="single"/>
        </w:rPr>
      </w:pPr>
      <w:r>
        <w:rPr>
          <w:rFonts w:hint="eastAsia" w:ascii="仿宋_GB2312" w:hAnsi="Arial Unicode MS" w:eastAsia="仿宋_GB2312" w:cs="Arial Unicode MS"/>
          <w:kern w:val="28"/>
          <w:sz w:val="30"/>
          <w:highlight w:val="none"/>
        </w:rPr>
        <w:t>工程名称</w:t>
      </w:r>
      <w:r>
        <w:rPr>
          <w:rFonts w:hint="eastAsia" w:ascii="仿宋_GB2312" w:hAnsi="Arial Unicode MS" w:eastAsia="仿宋_GB2312" w:cs="Arial Unicode MS"/>
          <w:b/>
          <w:bCs/>
          <w:kern w:val="28"/>
          <w:sz w:val="30"/>
          <w:highlight w:val="none"/>
        </w:rPr>
        <w:t>：</w:t>
      </w:r>
      <w:r>
        <w:rPr>
          <w:rFonts w:hint="eastAsia" w:ascii="宋体" w:hAnsi="宋体"/>
          <w:b/>
          <w:color w:val="000000"/>
          <w:sz w:val="28"/>
          <w:szCs w:val="28"/>
          <w:highlight w:val="none"/>
          <w:u w:val="single"/>
        </w:rPr>
        <w:t>重庆枢纽港</w:t>
      </w:r>
      <w:r>
        <w:rPr>
          <w:rFonts w:hint="eastAsia" w:ascii="宋体" w:hAnsi="宋体"/>
          <w:b/>
          <w:color w:val="000000"/>
          <w:sz w:val="28"/>
          <w:szCs w:val="28"/>
          <w:highlight w:val="none"/>
          <w:u w:val="single"/>
          <w:lang w:val="en-US" w:eastAsia="zh-CN"/>
        </w:rPr>
        <w:t>·</w:t>
      </w:r>
      <w:r>
        <w:rPr>
          <w:rFonts w:hint="eastAsia" w:ascii="宋体" w:hAnsi="宋体"/>
          <w:b/>
          <w:color w:val="000000"/>
          <w:sz w:val="28"/>
          <w:szCs w:val="28"/>
          <w:highlight w:val="none"/>
          <w:u w:val="single"/>
        </w:rPr>
        <w:t>九龙新城康养项目</w:t>
      </w:r>
    </w:p>
    <w:p w14:paraId="4C57EC8D">
      <w:pPr>
        <w:spacing w:before="156" w:beforeLines="50" w:after="156" w:afterLines="50" w:line="480" w:lineRule="auto"/>
        <w:ind w:right="565"/>
        <w:rPr>
          <w:rFonts w:ascii="宋体" w:hAnsi="宋体"/>
          <w:b/>
          <w:color w:val="000000"/>
          <w:sz w:val="28"/>
          <w:szCs w:val="28"/>
          <w:highlight w:val="none"/>
          <w:u w:val="single"/>
        </w:rPr>
      </w:pPr>
      <w:r>
        <w:rPr>
          <w:rFonts w:hint="eastAsia" w:ascii="仿宋_GB2312" w:hAnsi="Arial Unicode MS" w:eastAsia="仿宋_GB2312" w:cs="Arial Unicode MS"/>
          <w:kern w:val="28"/>
          <w:sz w:val="30"/>
          <w:highlight w:val="none"/>
        </w:rPr>
        <w:t>工程地点</w:t>
      </w:r>
      <w:r>
        <w:rPr>
          <w:rFonts w:hint="eastAsia" w:ascii="仿宋_GB2312" w:hAnsi="Arial Unicode MS" w:eastAsia="仿宋_GB2312" w:cs="Arial Unicode MS"/>
          <w:b/>
          <w:bCs/>
          <w:kern w:val="28"/>
          <w:sz w:val="30"/>
          <w:highlight w:val="none"/>
        </w:rPr>
        <w:t>：</w:t>
      </w:r>
      <w:r>
        <w:rPr>
          <w:rFonts w:hint="eastAsia" w:ascii="宋体" w:hAnsi="宋体"/>
          <w:b/>
          <w:color w:val="000000"/>
          <w:sz w:val="28"/>
          <w:szCs w:val="28"/>
          <w:highlight w:val="none"/>
          <w:u w:val="single"/>
        </w:rPr>
        <w:t>九龙坡区西彭镇</w:t>
      </w:r>
    </w:p>
    <w:p w14:paraId="36864AE3">
      <w:pPr>
        <w:spacing w:before="156" w:beforeLines="50" w:after="156" w:afterLines="50" w:line="480" w:lineRule="auto"/>
        <w:ind w:right="565"/>
        <w:rPr>
          <w:rFonts w:ascii="宋体" w:hAnsi="宋体"/>
          <w:b/>
          <w:color w:val="000000"/>
          <w:sz w:val="28"/>
          <w:szCs w:val="28"/>
          <w:highlight w:val="none"/>
          <w:u w:val="single"/>
        </w:rPr>
      </w:pPr>
      <w:r>
        <w:rPr>
          <w:rFonts w:hint="eastAsia" w:ascii="仿宋_GB2312" w:hAnsi="Arial Unicode MS" w:eastAsia="仿宋_GB2312" w:cs="Arial Unicode MS"/>
          <w:kern w:val="28"/>
          <w:sz w:val="30"/>
          <w:highlight w:val="none"/>
        </w:rPr>
        <w:t>设计证书等级</w:t>
      </w:r>
      <w:r>
        <w:rPr>
          <w:rFonts w:hint="eastAsia" w:ascii="仿宋_GB2312" w:hAnsi="Arial Unicode MS" w:eastAsia="仿宋_GB2312" w:cs="Arial Unicode MS"/>
          <w:b/>
          <w:bCs/>
          <w:kern w:val="28"/>
          <w:sz w:val="30"/>
          <w:highlight w:val="none"/>
        </w:rPr>
        <w:t>：</w:t>
      </w:r>
      <w:r>
        <w:rPr>
          <w:rFonts w:hint="eastAsia" w:ascii="宋体" w:hAnsi="宋体"/>
          <w:b/>
          <w:color w:val="000000"/>
          <w:sz w:val="28"/>
          <w:szCs w:val="28"/>
          <w:highlight w:val="none"/>
          <w:u w:val="single"/>
        </w:rPr>
        <w:t xml:space="preserve">           </w:t>
      </w:r>
      <w:r>
        <w:rPr>
          <w:rFonts w:ascii="宋体" w:hAnsi="宋体"/>
          <w:b/>
          <w:color w:val="000000"/>
          <w:sz w:val="28"/>
          <w:szCs w:val="28"/>
          <w:highlight w:val="none"/>
          <w:u w:val="single"/>
        </w:rPr>
        <w:t xml:space="preserve">   </w:t>
      </w:r>
      <w:r>
        <w:rPr>
          <w:rFonts w:hint="eastAsia" w:ascii="宋体" w:hAnsi="宋体"/>
          <w:b/>
          <w:color w:val="000000"/>
          <w:sz w:val="28"/>
          <w:szCs w:val="28"/>
          <w:highlight w:val="none"/>
          <w:u w:val="single"/>
        </w:rPr>
        <w:t xml:space="preserve"> </w:t>
      </w:r>
    </w:p>
    <w:p w14:paraId="4578CEB9">
      <w:pPr>
        <w:spacing w:before="156" w:beforeLines="50" w:after="156" w:afterLines="50" w:line="480" w:lineRule="auto"/>
        <w:ind w:right="565"/>
        <w:rPr>
          <w:rFonts w:ascii="宋体" w:hAnsi="宋体"/>
          <w:b/>
          <w:color w:val="000000"/>
          <w:sz w:val="28"/>
          <w:szCs w:val="28"/>
          <w:highlight w:val="none"/>
          <w:u w:val="single"/>
        </w:rPr>
      </w:pPr>
      <w:r>
        <w:rPr>
          <w:rFonts w:hint="eastAsia" w:ascii="仿宋_GB2312" w:hAnsi="Arial Unicode MS" w:eastAsia="仿宋_GB2312" w:cs="Arial Unicode MS"/>
          <w:kern w:val="28"/>
          <w:sz w:val="30"/>
          <w:highlight w:val="none"/>
        </w:rPr>
        <w:t>项目业主</w:t>
      </w:r>
      <w:r>
        <w:rPr>
          <w:rFonts w:hint="eastAsia" w:ascii="仿宋_GB2312" w:hAnsi="Arial Unicode MS" w:eastAsia="仿宋_GB2312" w:cs="Arial Unicode MS"/>
          <w:b/>
          <w:bCs/>
          <w:kern w:val="28"/>
          <w:sz w:val="30"/>
          <w:highlight w:val="none"/>
        </w:rPr>
        <w:t>:</w:t>
      </w:r>
      <w:r>
        <w:rPr>
          <w:rFonts w:hint="eastAsia"/>
          <w:highlight w:val="none"/>
        </w:rPr>
        <w:t xml:space="preserve"> </w:t>
      </w:r>
      <w:r>
        <w:rPr>
          <w:rFonts w:hint="eastAsia" w:ascii="宋体" w:hAnsi="宋体"/>
          <w:b/>
          <w:color w:val="000000"/>
          <w:sz w:val="28"/>
          <w:szCs w:val="28"/>
          <w:highlight w:val="none"/>
          <w:u w:val="single"/>
        </w:rPr>
        <w:t>重庆九龙现代产业发展集团有限公司</w:t>
      </w:r>
    </w:p>
    <w:p w14:paraId="02C6BF95">
      <w:pPr>
        <w:spacing w:before="156" w:beforeLines="50" w:after="156" w:afterLines="50" w:line="480" w:lineRule="auto"/>
        <w:ind w:right="565"/>
        <w:rPr>
          <w:rFonts w:ascii="仿宋_GB2312" w:eastAsia="仿宋_GB2312"/>
          <w:b/>
          <w:sz w:val="30"/>
          <w:szCs w:val="30"/>
          <w:highlight w:val="none"/>
          <w:u w:val="single"/>
        </w:rPr>
      </w:pPr>
      <w:r>
        <w:rPr>
          <w:rFonts w:hint="eastAsia" w:ascii="仿宋_GB2312" w:hAnsi="Arial Unicode MS" w:eastAsia="仿宋_GB2312" w:cs="Arial Unicode MS"/>
          <w:kern w:val="28"/>
          <w:sz w:val="30"/>
          <w:highlight w:val="none"/>
        </w:rPr>
        <w:t>设 计 人</w:t>
      </w:r>
      <w:r>
        <w:rPr>
          <w:rFonts w:hint="eastAsia" w:ascii="仿宋_GB2312" w:hAnsi="Arial Unicode MS" w:eastAsia="仿宋_GB2312" w:cs="Arial Unicode MS"/>
          <w:b/>
          <w:bCs/>
          <w:kern w:val="28"/>
          <w:sz w:val="30"/>
          <w:highlight w:val="none"/>
        </w:rPr>
        <w:t>：</w:t>
      </w:r>
      <w:r>
        <w:rPr>
          <w:rFonts w:hint="eastAsia" w:ascii="仿宋_GB2312" w:eastAsia="仿宋_GB2312"/>
          <w:b/>
          <w:sz w:val="30"/>
          <w:szCs w:val="30"/>
          <w:highlight w:val="none"/>
          <w:u w:val="single"/>
        </w:rPr>
        <w:t>***********</w:t>
      </w:r>
    </w:p>
    <w:p w14:paraId="3CB4E4D0">
      <w:pPr>
        <w:spacing w:before="156" w:beforeLines="50" w:after="156" w:afterLines="50" w:line="480" w:lineRule="auto"/>
        <w:ind w:right="565"/>
        <w:rPr>
          <w:rFonts w:ascii="仿宋_GB2312" w:hAnsi="Arial Unicode MS" w:eastAsia="仿宋_GB2312" w:cs="Arial Unicode MS"/>
          <w:kern w:val="28"/>
          <w:sz w:val="30"/>
          <w:u w:val="single"/>
        </w:rPr>
      </w:pPr>
      <w:r>
        <w:rPr>
          <w:rFonts w:hint="eastAsia" w:ascii="仿宋_GB2312" w:hAnsi="Arial Unicode MS" w:eastAsia="仿宋_GB2312" w:cs="Arial Unicode MS"/>
          <w:kern w:val="28"/>
          <w:sz w:val="30"/>
        </w:rPr>
        <w:t>签订日期</w:t>
      </w:r>
      <w:r>
        <w:rPr>
          <w:rFonts w:hint="eastAsia" w:ascii="仿宋_GB2312" w:hAnsi="Arial Unicode MS" w:eastAsia="仿宋_GB2312" w:cs="Arial Unicode MS"/>
          <w:b/>
          <w:bCs/>
          <w:kern w:val="28"/>
          <w:sz w:val="30"/>
        </w:rPr>
        <w:t>：</w:t>
      </w:r>
      <w:r>
        <w:rPr>
          <w:rFonts w:hint="eastAsia" w:ascii="华文行楷" w:eastAsia="华文行楷"/>
          <w:kern w:val="28"/>
          <w:sz w:val="32"/>
          <w:szCs w:val="36"/>
          <w:u w:val="single"/>
        </w:rPr>
        <w:t xml:space="preserve"> </w:t>
      </w:r>
      <w:r>
        <w:rPr>
          <w:rFonts w:hint="eastAsia" w:ascii="仿宋_GB2312" w:hAnsi="Arial Unicode MS" w:eastAsia="仿宋_GB2312" w:cs="Arial Unicode MS"/>
          <w:b/>
          <w:bCs/>
          <w:kern w:val="28"/>
          <w:sz w:val="30"/>
          <w:u w:val="single"/>
        </w:rPr>
        <w:t xml:space="preserve"> </w:t>
      </w:r>
      <w:r>
        <w:rPr>
          <w:rFonts w:ascii="仿宋_GB2312" w:hAnsi="Arial Unicode MS" w:eastAsia="仿宋_GB2312" w:cs="Arial Unicode MS"/>
          <w:b/>
          <w:bCs/>
          <w:kern w:val="28"/>
          <w:sz w:val="30"/>
          <w:u w:val="single"/>
        </w:rPr>
        <w:t xml:space="preserve">    </w:t>
      </w:r>
      <w:r>
        <w:rPr>
          <w:rFonts w:hint="eastAsia" w:ascii="仿宋_GB2312" w:hAnsi="Arial Unicode MS" w:eastAsia="仿宋_GB2312" w:cs="Arial Unicode MS"/>
          <w:kern w:val="28"/>
          <w:sz w:val="30"/>
          <w:u w:val="single"/>
        </w:rPr>
        <w:t xml:space="preserve"> </w:t>
      </w:r>
    </w:p>
    <w:p w14:paraId="5E6E03ED">
      <w:pPr>
        <w:spacing w:line="720" w:lineRule="auto"/>
        <w:rPr>
          <w:rFonts w:ascii="Batang" w:eastAsia="华文仿宋"/>
          <w:b/>
          <w:bCs/>
          <w:kern w:val="28"/>
          <w:sz w:val="28"/>
        </w:rPr>
      </w:pPr>
    </w:p>
    <w:p w14:paraId="4D351ADC">
      <w:pPr>
        <w:spacing w:line="720" w:lineRule="auto"/>
        <w:jc w:val="center"/>
        <w:rPr>
          <w:rFonts w:ascii="Batang" w:eastAsia="华文仿宋"/>
          <w:b/>
          <w:bCs/>
          <w:kern w:val="28"/>
          <w:sz w:val="36"/>
          <w:szCs w:val="36"/>
        </w:rPr>
      </w:pPr>
      <w:r>
        <w:rPr>
          <w:rFonts w:ascii="Batang" w:eastAsia="华文仿宋"/>
          <w:b/>
          <w:bCs/>
          <w:kern w:val="28"/>
          <w:sz w:val="28"/>
        </w:rPr>
        <w:br w:type="page"/>
      </w:r>
      <w:r>
        <w:rPr>
          <w:rFonts w:hint="eastAsia" w:ascii="Batang" w:eastAsia="华文仿宋"/>
          <w:b/>
          <w:bCs/>
          <w:kern w:val="28"/>
          <w:sz w:val="36"/>
          <w:szCs w:val="36"/>
        </w:rPr>
        <w:t>合同</w:t>
      </w:r>
      <w:r>
        <w:rPr>
          <w:rFonts w:ascii="Batang" w:eastAsia="华文仿宋"/>
          <w:b/>
          <w:bCs/>
          <w:kern w:val="28"/>
          <w:sz w:val="36"/>
          <w:szCs w:val="36"/>
        </w:rPr>
        <w:t>协议</w:t>
      </w:r>
      <w:r>
        <w:rPr>
          <w:rFonts w:hint="eastAsia" w:ascii="Batang" w:eastAsia="华文仿宋"/>
          <w:b/>
          <w:bCs/>
          <w:kern w:val="28"/>
          <w:sz w:val="36"/>
          <w:szCs w:val="36"/>
        </w:rPr>
        <w:t>书</w:t>
      </w:r>
    </w:p>
    <w:p w14:paraId="1277502B">
      <w:pPr>
        <w:spacing w:line="480" w:lineRule="auto"/>
        <w:ind w:firstLine="630" w:firstLineChars="210"/>
        <w:rPr>
          <w:rFonts w:hint="eastAsia" w:ascii="方正仿宋_GBK" w:hAnsi="方正仿宋_GBK" w:eastAsia="方正仿宋_GBK" w:cs="方正仿宋_GBK"/>
          <w:kern w:val="28"/>
          <w:sz w:val="30"/>
          <w:szCs w:val="30"/>
        </w:rPr>
      </w:pPr>
      <w:r>
        <w:rPr>
          <w:rFonts w:hint="eastAsia" w:ascii="方正仿宋_GBK" w:hAnsi="方正仿宋_GBK" w:eastAsia="方正仿宋_GBK" w:cs="方正仿宋_GBK"/>
          <w:kern w:val="28"/>
          <w:sz w:val="30"/>
          <w:szCs w:val="30"/>
        </w:rPr>
        <w:t>项目业主：</w:t>
      </w:r>
      <w:r>
        <w:rPr>
          <w:rFonts w:hint="eastAsia" w:ascii="方正仿宋_GBK" w:hAnsi="方正仿宋_GBK" w:eastAsia="方正仿宋_GBK" w:cs="方正仿宋_GBK"/>
          <w:b/>
          <w:color w:val="000000"/>
          <w:sz w:val="30"/>
          <w:szCs w:val="30"/>
          <w:u w:val="single"/>
        </w:rPr>
        <w:t>重庆九龙现代产业发展集团有限公司</w:t>
      </w:r>
      <w:r>
        <w:rPr>
          <w:rFonts w:hint="eastAsia" w:ascii="方正仿宋_GBK" w:hAnsi="方正仿宋_GBK" w:eastAsia="方正仿宋_GBK" w:cs="方正仿宋_GBK"/>
          <w:b/>
          <w:color w:val="000000"/>
          <w:sz w:val="30"/>
          <w:szCs w:val="30"/>
        </w:rPr>
        <w:t>（以下简称发包人）</w:t>
      </w:r>
    </w:p>
    <w:p w14:paraId="1B9EF6FA">
      <w:pPr>
        <w:spacing w:line="480" w:lineRule="auto"/>
        <w:ind w:firstLine="630" w:firstLineChars="210"/>
        <w:rPr>
          <w:rFonts w:hint="eastAsia" w:ascii="方正仿宋_GBK" w:hAnsi="方正仿宋_GBK" w:eastAsia="方正仿宋_GBK" w:cs="方正仿宋_GBK"/>
          <w:kern w:val="28"/>
          <w:sz w:val="30"/>
          <w:szCs w:val="30"/>
          <w:u w:val="single"/>
        </w:rPr>
      </w:pPr>
      <w:r>
        <w:rPr>
          <w:rFonts w:hint="eastAsia" w:ascii="方正仿宋_GBK" w:hAnsi="方正仿宋_GBK" w:eastAsia="方正仿宋_GBK" w:cs="方正仿宋_GBK"/>
          <w:sz w:val="30"/>
          <w:szCs w:val="30"/>
        </w:rPr>
        <w:t>地址：</w:t>
      </w:r>
      <w:r>
        <w:rPr>
          <w:rFonts w:hint="eastAsia" w:ascii="方正仿宋_GBK" w:hAnsi="方正仿宋_GBK" w:eastAsia="方正仿宋_GBK" w:cs="方正仿宋_GBK"/>
          <w:sz w:val="30"/>
          <w:szCs w:val="30"/>
          <w:u w:val="single"/>
        </w:rPr>
        <w:t xml:space="preserve"> 重庆市九龙坡区西彭镇森迪大道66号</w:t>
      </w:r>
    </w:p>
    <w:p w14:paraId="6283EDDE">
      <w:pPr>
        <w:ind w:firstLine="630" w:firstLineChars="210"/>
        <w:rPr>
          <w:rFonts w:hint="eastAsia" w:ascii="方正仿宋_GBK" w:hAnsi="方正仿宋_GBK" w:eastAsia="方正仿宋_GBK" w:cs="方正仿宋_GBK"/>
          <w:b/>
          <w:sz w:val="30"/>
          <w:szCs w:val="30"/>
          <w:u w:val="single"/>
        </w:rPr>
      </w:pPr>
      <w:r>
        <w:rPr>
          <w:rFonts w:hint="eastAsia" w:ascii="方正仿宋_GBK" w:hAnsi="方正仿宋_GBK" w:eastAsia="方正仿宋_GBK" w:cs="方正仿宋_GBK"/>
          <w:kern w:val="28"/>
          <w:sz w:val="30"/>
          <w:szCs w:val="30"/>
        </w:rPr>
        <w:t>设计人：</w:t>
      </w:r>
      <w:r>
        <w:rPr>
          <w:rFonts w:hint="eastAsia" w:ascii="方正仿宋_GBK" w:hAnsi="方正仿宋_GBK" w:eastAsia="方正仿宋_GBK" w:cs="方正仿宋_GBK"/>
          <w:b/>
          <w:sz w:val="30"/>
          <w:szCs w:val="30"/>
          <w:u w:val="single"/>
        </w:rPr>
        <w:t xml:space="preserve">******** </w:t>
      </w:r>
    </w:p>
    <w:p w14:paraId="7F166549">
      <w:pPr>
        <w:ind w:firstLine="630" w:firstLineChars="210"/>
        <w:rPr>
          <w:rFonts w:hint="eastAsia" w:ascii="方正仿宋_GBK" w:hAnsi="方正仿宋_GBK" w:eastAsia="方正仿宋_GBK" w:cs="方正仿宋_GBK"/>
          <w:kern w:val="28"/>
          <w:sz w:val="30"/>
          <w:szCs w:val="30"/>
          <w:u w:val="single"/>
        </w:rPr>
      </w:pPr>
      <w:r>
        <w:rPr>
          <w:rFonts w:hint="eastAsia" w:ascii="方正仿宋_GBK" w:hAnsi="方正仿宋_GBK" w:eastAsia="方正仿宋_GBK" w:cs="方正仿宋_GBK"/>
          <w:sz w:val="30"/>
          <w:szCs w:val="30"/>
        </w:rPr>
        <w:t>地址：</w:t>
      </w:r>
      <w:r>
        <w:rPr>
          <w:rFonts w:hint="eastAsia" w:ascii="方正仿宋_GBK" w:hAnsi="方正仿宋_GBK" w:eastAsia="方正仿宋_GBK" w:cs="方正仿宋_GBK"/>
          <w:sz w:val="30"/>
          <w:szCs w:val="30"/>
          <w:u w:val="single"/>
        </w:rPr>
        <w:t xml:space="preserve">     </w:t>
      </w:r>
      <w:r>
        <w:rPr>
          <w:rFonts w:hint="eastAsia" w:ascii="方正仿宋_GBK" w:hAnsi="方正仿宋_GBK" w:eastAsia="方正仿宋_GBK" w:cs="方正仿宋_GBK"/>
          <w:kern w:val="28"/>
          <w:sz w:val="30"/>
          <w:szCs w:val="30"/>
          <w:u w:val="single"/>
        </w:rPr>
        <w:t xml:space="preserve">       </w:t>
      </w:r>
    </w:p>
    <w:p w14:paraId="2292A492">
      <w:pPr>
        <w:spacing w:line="360" w:lineRule="auto"/>
        <w:ind w:firstLine="600" w:firstLineChars="200"/>
        <w:rPr>
          <w:rFonts w:hint="eastAsia" w:ascii="方正仿宋_GBK" w:hAnsi="方正仿宋_GBK" w:eastAsia="方正仿宋_GBK" w:cs="方正仿宋_GBK"/>
          <w:color w:val="000000"/>
          <w:sz w:val="30"/>
          <w:szCs w:val="30"/>
        </w:rPr>
      </w:pPr>
      <w:r>
        <w:rPr>
          <w:rFonts w:hint="eastAsia" w:ascii="方正仿宋_GBK" w:hAnsi="方正仿宋_GBK" w:eastAsia="方正仿宋_GBK" w:cs="方正仿宋_GBK"/>
          <w:color w:val="000000"/>
          <w:sz w:val="30"/>
          <w:szCs w:val="30"/>
        </w:rPr>
        <w:t>发包人委托设计人承担</w:t>
      </w:r>
      <w:r>
        <w:rPr>
          <w:rFonts w:hint="eastAsia" w:ascii="方正仿宋_GBK" w:hAnsi="方正仿宋_GBK" w:eastAsia="方正仿宋_GBK" w:cs="方正仿宋_GBK"/>
          <w:color w:val="000000"/>
          <w:sz w:val="30"/>
          <w:szCs w:val="30"/>
          <w:u w:val="single"/>
        </w:rPr>
        <w:t>重庆枢纽港</w:t>
      </w:r>
      <w:r>
        <w:rPr>
          <w:rFonts w:hint="eastAsia" w:ascii="方正仿宋_GBK" w:hAnsi="方正仿宋_GBK" w:eastAsia="方正仿宋_GBK" w:cs="方正仿宋_GBK"/>
          <w:color w:val="000000"/>
          <w:sz w:val="30"/>
          <w:szCs w:val="30"/>
          <w:u w:val="single"/>
          <w:lang w:val="en-US" w:eastAsia="zh-CN"/>
        </w:rPr>
        <w:t>·</w:t>
      </w:r>
      <w:r>
        <w:rPr>
          <w:rFonts w:hint="eastAsia" w:ascii="方正仿宋_GBK" w:hAnsi="方正仿宋_GBK" w:eastAsia="方正仿宋_GBK" w:cs="方正仿宋_GBK"/>
          <w:color w:val="000000"/>
          <w:sz w:val="30"/>
          <w:szCs w:val="30"/>
          <w:u w:val="single"/>
        </w:rPr>
        <w:t>九龙新城康养项目设计</w:t>
      </w:r>
      <w:r>
        <w:rPr>
          <w:rFonts w:hint="eastAsia" w:ascii="方正仿宋_GBK" w:hAnsi="方正仿宋_GBK" w:eastAsia="方正仿宋_GBK" w:cs="方正仿宋_GBK"/>
          <w:color w:val="000000"/>
          <w:sz w:val="30"/>
          <w:szCs w:val="30"/>
        </w:rPr>
        <w:t>，经双方协商一致，签订本合同。</w:t>
      </w:r>
    </w:p>
    <w:p w14:paraId="632B7253">
      <w:pPr>
        <w:spacing w:line="360" w:lineRule="auto"/>
        <w:ind w:firstLine="602"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b/>
          <w:bCs/>
          <w:kern w:val="28"/>
          <w:sz w:val="30"/>
          <w:szCs w:val="30"/>
        </w:rPr>
        <w:t xml:space="preserve">第一条  </w:t>
      </w:r>
      <w:r>
        <w:rPr>
          <w:rFonts w:hint="eastAsia" w:ascii="方正仿宋_GB2312" w:hAnsi="方正仿宋_GB2312" w:eastAsia="方正仿宋_GB2312" w:cs="方正仿宋_GB2312"/>
          <w:kern w:val="28"/>
          <w:sz w:val="30"/>
          <w:szCs w:val="30"/>
        </w:rPr>
        <w:t>本合同依据下列文件签订：</w:t>
      </w:r>
    </w:p>
    <w:p w14:paraId="0AFB41E3">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1.1《中华人民共和国民法典》、《中华人民共和国建筑法》。</w:t>
      </w:r>
    </w:p>
    <w:p w14:paraId="2799C748">
      <w:pPr>
        <w:spacing w:line="360" w:lineRule="auto"/>
        <w:ind w:firstLine="570"/>
        <w:rPr>
          <w:rFonts w:hint="eastAsia" w:ascii="方正仿宋_GB2312" w:hAnsi="方正仿宋_GB2312" w:eastAsia="方正仿宋_GB2312" w:cs="方正仿宋_GB2312"/>
          <w:color w:val="FF0000"/>
          <w:kern w:val="28"/>
          <w:sz w:val="30"/>
          <w:szCs w:val="30"/>
        </w:rPr>
      </w:pPr>
      <w:r>
        <w:rPr>
          <w:rFonts w:hint="eastAsia" w:ascii="方正仿宋_GB2312" w:hAnsi="方正仿宋_GB2312" w:eastAsia="方正仿宋_GB2312" w:cs="方正仿宋_GB2312"/>
          <w:kern w:val="28"/>
          <w:sz w:val="30"/>
          <w:szCs w:val="30"/>
        </w:rPr>
        <w:t>1.2《建设工程质量管理条例》、《建设工程勘察设计管理条例》。</w:t>
      </w:r>
    </w:p>
    <w:p w14:paraId="563C6A76">
      <w:pPr>
        <w:spacing w:line="360" w:lineRule="auto"/>
        <w:ind w:firstLine="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1.3《重庆市城市规划管理技术规定》、《建设用地规划许可证》或《土地使用权出让合同书》。</w:t>
      </w:r>
    </w:p>
    <w:p w14:paraId="6CBF441D">
      <w:pPr>
        <w:spacing w:line="360" w:lineRule="auto"/>
        <w:ind w:firstLine="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1.4国家及地方有关建设工程勘察设计管理法规和规章。</w:t>
      </w:r>
    </w:p>
    <w:p w14:paraId="690C97F7">
      <w:pPr>
        <w:spacing w:line="360" w:lineRule="auto"/>
        <w:ind w:left="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1.5建设工程各阶段批准文件。</w:t>
      </w:r>
    </w:p>
    <w:p w14:paraId="20DB38FA">
      <w:pPr>
        <w:spacing w:line="360" w:lineRule="auto"/>
        <w:ind w:firstLine="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1.6发包人的竞争性谈判招标文件、投标文件、中标通知书。</w:t>
      </w:r>
    </w:p>
    <w:p w14:paraId="077ECA0A">
      <w:pPr>
        <w:spacing w:line="360" w:lineRule="auto"/>
        <w:ind w:firstLine="57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b/>
          <w:bCs/>
          <w:kern w:val="28"/>
          <w:sz w:val="30"/>
          <w:szCs w:val="30"/>
        </w:rPr>
        <w:t>第二条</w:t>
      </w:r>
      <w:r>
        <w:rPr>
          <w:rFonts w:hint="eastAsia" w:ascii="方正仿宋_GB2312" w:hAnsi="方正仿宋_GB2312" w:eastAsia="方正仿宋_GB2312" w:cs="方正仿宋_GB2312"/>
          <w:kern w:val="28"/>
          <w:sz w:val="30"/>
          <w:szCs w:val="30"/>
        </w:rPr>
        <w:t xml:space="preserve"> 本合同设计的内容：</w:t>
      </w:r>
    </w:p>
    <w:p w14:paraId="78A40398">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2.1工程名称：重庆枢纽港.九龙新城康养项目。</w:t>
      </w:r>
    </w:p>
    <w:p w14:paraId="215F6ED3">
      <w:pPr>
        <w:spacing w:line="580" w:lineRule="exact"/>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2.2设计阶段：包含但不限于完成概念性方案设计，效果图设计（包含室内外平面、立面、侧面及鸟瞰图）、方案设计达到规划及设计报建深度；完成投资估算编制、初步设计（含概算编制）；施工图设计；对施工招标、施工阶段、竣工验收阶段、缺陷责任期阶段等提供全过程、全部设计服务。 </w:t>
      </w:r>
    </w:p>
    <w:p w14:paraId="7FD897A4">
      <w:pPr>
        <w:spacing w:line="580" w:lineRule="exact"/>
        <w:ind w:firstLine="450" w:firstLineChars="15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sz w:val="30"/>
          <w:szCs w:val="30"/>
        </w:rPr>
        <w:t>2.3设计内容： 包括但不限于门卫、前台咨询、医养、医技、行政、后勤等功能区域及配套设计内容的总图、建筑、外立面、装饰</w:t>
      </w:r>
      <w:r>
        <w:rPr>
          <w:rFonts w:hint="eastAsia" w:ascii="方正仿宋_GB2312" w:hAnsi="方正仿宋_GB2312" w:eastAsia="方正仿宋_GB2312" w:cs="方正仿宋_GB2312"/>
          <w:sz w:val="30"/>
          <w:szCs w:val="30"/>
          <w:highlight w:val="none"/>
        </w:rPr>
        <w:t>装修、结构（含加固）、电气（强电、弱电）设计、给排水设计、消防设计、暖通设计、室外环境等，生化池土</w:t>
      </w:r>
      <w:r>
        <w:rPr>
          <w:rFonts w:hint="eastAsia" w:ascii="方正仿宋_GB2312" w:hAnsi="方正仿宋_GB2312" w:eastAsia="方正仿宋_GB2312" w:cs="方正仿宋_GB2312"/>
          <w:b w:val="0"/>
          <w:bCs w:val="0"/>
          <w:sz w:val="30"/>
          <w:szCs w:val="30"/>
          <w:highlight w:val="none"/>
        </w:rPr>
        <w:t xml:space="preserve">建结构（如有）、门窗、栏杆等建筑部品及部件专项设计等，幕墙专项设计、钢结构专项设计、海绵城市设计、建筑节能环保与绿色建筑设计、BIM装配式建筑设计等以及包括但不限于一层门急诊区、二层门诊区、三至五层住院病区、负一楼及附楼功能设计、人流导向设计、医疗专项设计、医院流程设计（包括但不限于123级医疗工艺含放射、icu等）等满足医院及康养开诊营业所需的所有设计内容。（详见功能分区及需求详见附件） </w:t>
      </w:r>
    </w:p>
    <w:p w14:paraId="333E66C4">
      <w:pPr>
        <w:spacing w:line="580" w:lineRule="exact"/>
        <w:ind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sz w:val="30"/>
          <w:szCs w:val="30"/>
          <w:highlight w:val="none"/>
        </w:rPr>
        <w:t xml:space="preserve">2.4二次设计内容：包含但不限于完成门窗、栏杆（如有）等二次深化设计，配合完成装配式构件、抗震支架、生化池工艺设备（如有）、厨房、车库等二次深化设计以及一层门急诊区、二层门诊区、三至五层住院病区、负一楼及附楼功能设计、人流导向设计、医疗专项设计、医院流程设计（包括但不限于123级医疗工艺含放射、icu等）等满足医院及康养开诊营业所需的二次及多次深化设计内容。 </w:t>
      </w:r>
    </w:p>
    <w:p w14:paraId="0E95546E">
      <w:pPr>
        <w:spacing w:line="580" w:lineRule="exact"/>
        <w:ind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sz w:val="30"/>
          <w:szCs w:val="30"/>
          <w:highlight w:val="none"/>
        </w:rPr>
        <w:t>2.5设计人的设计成果必须经过招标人及入驻单位签章确认，</w:t>
      </w:r>
      <w:r>
        <w:rPr>
          <w:rFonts w:hint="eastAsia" w:ascii="方正仿宋_GB2312" w:hAnsi="方正仿宋_GB2312" w:eastAsia="方正仿宋_GB2312" w:cs="方正仿宋_GB2312"/>
          <w:b w:val="0"/>
          <w:bCs w:val="0"/>
          <w:color w:val="000000"/>
          <w:sz w:val="30"/>
          <w:szCs w:val="30"/>
          <w:highlight w:val="none"/>
        </w:rPr>
        <w:t>并满足发包人及发包人上级行政主管部门对方案设计、初步设计、施工图设计审批的各项要求，概算文件及初步设计文件应全面反映工程投资以及发包人上级行政主管部门对概算审核的深度要求。施工图设计应满足招标工程量清单编制要求。</w:t>
      </w:r>
    </w:p>
    <w:p w14:paraId="36A89DAA">
      <w:pPr>
        <w:spacing w:line="580" w:lineRule="exact"/>
        <w:ind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sz w:val="30"/>
          <w:szCs w:val="30"/>
          <w:highlight w:val="none"/>
        </w:rPr>
        <w:t>2.6设计服务期限：2025年3月22日前完成方案设计工作，并提交相关行政行业主管部门及专家审核；2025年4月5日前完成施工图初稿；2025年4月8日前完成概算编制达到概算审核要求；2025年4月15日前施工图经过相关行政行业主管部门及专家审核完成定稿。</w:t>
      </w:r>
    </w:p>
    <w:p w14:paraId="28F01630">
      <w:pPr>
        <w:spacing w:line="360" w:lineRule="auto"/>
        <w:ind w:right="273" w:firstLine="600" w:firstLineChars="200"/>
        <w:rPr>
          <w:rFonts w:hint="eastAsia" w:ascii="方正仿宋_GB2312" w:hAnsi="方正仿宋_GB2312" w:eastAsia="方正仿宋_GB2312" w:cs="方正仿宋_GB2312"/>
          <w:b w:val="0"/>
          <w:bCs w:val="0"/>
          <w:kern w:val="28"/>
          <w:sz w:val="30"/>
          <w:szCs w:val="30"/>
          <w:highlight w:val="none"/>
        </w:rPr>
      </w:pPr>
      <w:r>
        <w:rPr>
          <w:rFonts w:hint="eastAsia" w:ascii="方正仿宋_GB2312" w:hAnsi="方正仿宋_GB2312" w:eastAsia="方正仿宋_GB2312" w:cs="方正仿宋_GB2312"/>
          <w:b w:val="0"/>
          <w:bCs w:val="0"/>
          <w:sz w:val="30"/>
          <w:szCs w:val="30"/>
          <w:highlight w:val="none"/>
        </w:rPr>
        <w:t xml:space="preserve">第三条 </w:t>
      </w:r>
      <w:r>
        <w:rPr>
          <w:rFonts w:hint="eastAsia" w:ascii="方正仿宋_GB2312" w:hAnsi="方正仿宋_GB2312" w:eastAsia="方正仿宋_GB2312" w:cs="方正仿宋_GB2312"/>
          <w:b w:val="0"/>
          <w:bCs w:val="0"/>
          <w:kern w:val="28"/>
          <w:sz w:val="30"/>
          <w:szCs w:val="30"/>
          <w:highlight w:val="none"/>
        </w:rPr>
        <w:t>合同价款</w:t>
      </w:r>
    </w:p>
    <w:p w14:paraId="70596E87">
      <w:pPr>
        <w:spacing w:line="360" w:lineRule="auto"/>
        <w:ind w:right="273"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color w:val="000000"/>
          <w:sz w:val="30"/>
          <w:szCs w:val="30"/>
          <w:highlight w:val="none"/>
        </w:rPr>
        <w:t>3.1本项目设计费暂定</w:t>
      </w:r>
      <w:r>
        <w:rPr>
          <w:rFonts w:hint="eastAsia" w:ascii="方正仿宋_GB2312" w:hAnsi="方正仿宋_GB2312" w:eastAsia="方正仿宋_GB2312" w:cs="方正仿宋_GB2312"/>
          <w:b w:val="0"/>
          <w:bCs w:val="0"/>
          <w:kern w:val="28"/>
          <w:sz w:val="30"/>
          <w:szCs w:val="30"/>
          <w:highlight w:val="none"/>
        </w:rPr>
        <w:t>总价¥</w:t>
      </w:r>
      <w:r>
        <w:rPr>
          <w:rFonts w:hint="eastAsia" w:ascii="方正仿宋_GB2312" w:hAnsi="方正仿宋_GB2312" w:eastAsia="方正仿宋_GB2312" w:cs="方正仿宋_GB2312"/>
          <w:b w:val="0"/>
          <w:bCs w:val="0"/>
          <w:kern w:val="28"/>
          <w:sz w:val="30"/>
          <w:szCs w:val="30"/>
          <w:highlight w:val="none"/>
          <w:u w:val="single"/>
        </w:rPr>
        <w:t xml:space="preserve">     </w:t>
      </w:r>
      <w:r>
        <w:rPr>
          <w:rFonts w:hint="eastAsia" w:ascii="方正仿宋_GB2312" w:hAnsi="方正仿宋_GB2312" w:eastAsia="方正仿宋_GB2312" w:cs="方正仿宋_GB2312"/>
          <w:b w:val="0"/>
          <w:bCs w:val="0"/>
          <w:kern w:val="28"/>
          <w:sz w:val="30"/>
          <w:szCs w:val="30"/>
          <w:highlight w:val="none"/>
        </w:rPr>
        <w:t>元（大写</w:t>
      </w:r>
      <w:r>
        <w:rPr>
          <w:rFonts w:hint="eastAsia" w:ascii="方正仿宋_GB2312" w:hAnsi="方正仿宋_GB2312" w:eastAsia="方正仿宋_GB2312" w:cs="方正仿宋_GB2312"/>
          <w:b w:val="0"/>
          <w:bCs w:val="0"/>
          <w:kern w:val="28"/>
          <w:sz w:val="30"/>
          <w:szCs w:val="30"/>
          <w:highlight w:val="none"/>
          <w:u w:val="single"/>
        </w:rPr>
        <w:t xml:space="preserve">：         </w:t>
      </w:r>
      <w:r>
        <w:rPr>
          <w:rFonts w:hint="eastAsia" w:ascii="方正仿宋_GB2312" w:hAnsi="方正仿宋_GB2312" w:eastAsia="方正仿宋_GB2312" w:cs="方正仿宋_GB2312"/>
          <w:b w:val="0"/>
          <w:bCs w:val="0"/>
          <w:kern w:val="28"/>
          <w:sz w:val="30"/>
          <w:szCs w:val="30"/>
          <w:highlight w:val="none"/>
        </w:rPr>
        <w:t xml:space="preserve"> ），一至五层医院门急诊区、门诊区、住院区设计费固定单价¥</w:t>
      </w:r>
      <w:r>
        <w:rPr>
          <w:rFonts w:hint="eastAsia" w:ascii="方正仿宋_GB2312" w:hAnsi="方正仿宋_GB2312" w:eastAsia="方正仿宋_GB2312" w:cs="方正仿宋_GB2312"/>
          <w:b w:val="0"/>
          <w:bCs w:val="0"/>
          <w:kern w:val="28"/>
          <w:sz w:val="30"/>
          <w:szCs w:val="30"/>
          <w:highlight w:val="none"/>
          <w:u w:val="single"/>
        </w:rPr>
        <w:t xml:space="preserve">        </w:t>
      </w:r>
      <w:r>
        <w:rPr>
          <w:rFonts w:hint="eastAsia" w:ascii="方正仿宋_GB2312" w:hAnsi="方正仿宋_GB2312" w:eastAsia="方正仿宋_GB2312" w:cs="方正仿宋_GB2312"/>
          <w:b w:val="0"/>
          <w:bCs w:val="0"/>
          <w:kern w:val="28"/>
          <w:sz w:val="30"/>
          <w:szCs w:val="30"/>
          <w:highlight w:val="none"/>
        </w:rPr>
        <w:t>元/m2；地下层、附楼（包括但不限于食堂、车库、办公区、后勤保障、业务管理、其他配套用房等）设计费固定单价¥</w:t>
      </w:r>
      <w:r>
        <w:rPr>
          <w:rFonts w:hint="eastAsia" w:ascii="方正仿宋_GB2312" w:hAnsi="方正仿宋_GB2312" w:eastAsia="方正仿宋_GB2312" w:cs="方正仿宋_GB2312"/>
          <w:b w:val="0"/>
          <w:bCs w:val="0"/>
          <w:kern w:val="28"/>
          <w:sz w:val="30"/>
          <w:szCs w:val="30"/>
          <w:highlight w:val="none"/>
          <w:u w:val="single"/>
        </w:rPr>
        <w:t xml:space="preserve">        </w:t>
      </w:r>
      <w:r>
        <w:rPr>
          <w:rFonts w:hint="eastAsia" w:ascii="方正仿宋_GB2312" w:hAnsi="方正仿宋_GB2312" w:eastAsia="方正仿宋_GB2312" w:cs="方正仿宋_GB2312"/>
          <w:b w:val="0"/>
          <w:bCs w:val="0"/>
          <w:kern w:val="28"/>
          <w:sz w:val="30"/>
          <w:szCs w:val="30"/>
          <w:highlight w:val="none"/>
        </w:rPr>
        <w:t>元/m2。</w:t>
      </w:r>
    </w:p>
    <w:p w14:paraId="1DD0EAA0">
      <w:pPr>
        <w:spacing w:line="600" w:lineRule="exact"/>
        <w:ind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kern w:val="28"/>
          <w:sz w:val="30"/>
          <w:szCs w:val="30"/>
          <w:highlight w:val="none"/>
        </w:rPr>
        <w:t>3.2</w:t>
      </w:r>
      <w:r>
        <w:rPr>
          <w:rFonts w:hint="eastAsia" w:ascii="方正仿宋_GB2312" w:hAnsi="方正仿宋_GB2312" w:eastAsia="方正仿宋_GB2312" w:cs="方正仿宋_GB2312"/>
          <w:b w:val="0"/>
          <w:bCs w:val="0"/>
          <w:sz w:val="30"/>
          <w:szCs w:val="30"/>
          <w:highlight w:val="none"/>
        </w:rPr>
        <w:t>投标人投标总报价、投标固定单价包括但不限于设计人为完成招标范围内设计内容所需的的</w:t>
      </w:r>
      <w:r>
        <w:rPr>
          <w:rFonts w:hint="eastAsia" w:ascii="方正仿宋_GB2312" w:hAnsi="方正仿宋_GB2312" w:eastAsia="方正仿宋_GB2312" w:cs="方正仿宋_GB2312"/>
          <w:b w:val="0"/>
          <w:bCs w:val="0"/>
          <w:sz w:val="30"/>
          <w:szCs w:val="30"/>
        </w:rPr>
        <w:t>设计费、出图费、投资估算、概算编制费、效果图费、项目讨论会务费、专家评审费（如果有）、税金、规费、施工现场服务费、竣工验收、质保期服务及其他按建设行政主管部门的要求完成BIM等信息化设计工作、装配式建筑、海绵城市建设、绿色节能、医养功能设计、医技设计、人</w:t>
      </w:r>
      <w:r>
        <w:rPr>
          <w:rFonts w:hint="eastAsia" w:ascii="方正仿宋_GB2312" w:hAnsi="方正仿宋_GB2312" w:eastAsia="方正仿宋_GB2312" w:cs="方正仿宋_GB2312"/>
          <w:b w:val="0"/>
          <w:bCs w:val="0"/>
          <w:sz w:val="30"/>
          <w:szCs w:val="30"/>
          <w:highlight w:val="none"/>
        </w:rPr>
        <w:t>流导向、医院流程设计等专项设计的所有费用，投标人应充分考虑设计中可能产生的各种费用，中标后的固定单价不作调整。</w:t>
      </w:r>
    </w:p>
    <w:p w14:paraId="65B890FB">
      <w:pPr>
        <w:spacing w:line="580" w:lineRule="exact"/>
        <w:ind w:firstLine="600" w:firstLineChars="200"/>
        <w:rPr>
          <w:rFonts w:hint="eastAsia" w:ascii="方正仿宋_GB2312" w:hAnsi="方正仿宋_GB2312" w:eastAsia="方正仿宋_GB2312" w:cs="方正仿宋_GB2312"/>
          <w:b w:val="0"/>
          <w:bCs w:val="0"/>
          <w:sz w:val="30"/>
          <w:szCs w:val="30"/>
          <w:highlight w:val="none"/>
        </w:rPr>
      </w:pPr>
      <w:r>
        <w:rPr>
          <w:rFonts w:hint="eastAsia" w:ascii="方正仿宋_GB2312" w:hAnsi="方正仿宋_GB2312" w:eastAsia="方正仿宋_GB2312" w:cs="方正仿宋_GB2312"/>
          <w:b w:val="0"/>
          <w:bCs w:val="0"/>
          <w:sz w:val="30"/>
          <w:szCs w:val="30"/>
          <w:highlight w:val="none"/>
        </w:rPr>
        <w:t>第四条</w:t>
      </w:r>
      <w:r>
        <w:rPr>
          <w:rFonts w:hint="eastAsia" w:ascii="方正仿宋_GB2312" w:hAnsi="方正仿宋_GB2312" w:eastAsia="方正仿宋_GB2312" w:cs="方正仿宋_GB2312"/>
          <w:b w:val="0"/>
          <w:bCs w:val="0"/>
          <w:kern w:val="28"/>
          <w:sz w:val="30"/>
          <w:szCs w:val="30"/>
          <w:highlight w:val="none"/>
        </w:rPr>
        <w:t xml:space="preserve"> 设计人应向发包人交付的设计资料及文件：</w:t>
      </w:r>
      <w:r>
        <w:rPr>
          <w:rFonts w:hint="eastAsia" w:ascii="方正仿宋_GB2312" w:hAnsi="方正仿宋_GB2312" w:eastAsia="方正仿宋_GB2312" w:cs="方正仿宋_GB2312"/>
          <w:b w:val="0"/>
          <w:bCs w:val="0"/>
          <w:sz w:val="30"/>
          <w:szCs w:val="30"/>
          <w:highlight w:val="none"/>
        </w:rPr>
        <w:t xml:space="preserve"> </w:t>
      </w:r>
    </w:p>
    <w:p w14:paraId="52D6F3B3">
      <w:pPr>
        <w:spacing w:line="360" w:lineRule="auto"/>
        <w:ind w:firstLine="600" w:firstLineChars="200"/>
        <w:rPr>
          <w:rFonts w:hint="eastAsia" w:ascii="方正仿宋_GB2312" w:hAnsi="方正仿宋_GB2312" w:eastAsia="方正仿宋_GB2312" w:cs="方正仿宋_GB2312"/>
          <w:b w:val="0"/>
          <w:bCs w:val="0"/>
          <w:kern w:val="28"/>
          <w:sz w:val="30"/>
          <w:szCs w:val="30"/>
          <w:highlight w:val="none"/>
        </w:rPr>
      </w:pPr>
      <w:r>
        <w:rPr>
          <w:rFonts w:hint="eastAsia" w:ascii="方正仿宋_GB2312" w:hAnsi="方正仿宋_GB2312" w:eastAsia="方正仿宋_GB2312" w:cs="方正仿宋_GB2312"/>
          <w:b w:val="0"/>
          <w:bCs w:val="0"/>
          <w:kern w:val="28"/>
          <w:sz w:val="30"/>
          <w:szCs w:val="30"/>
          <w:highlight w:val="none"/>
        </w:rPr>
        <w:t>4.1合同签订生效，2025年3月25日前完成方案设计，提供方案设计文本及工程估算三套（含2套含电子文档）；</w:t>
      </w:r>
    </w:p>
    <w:p w14:paraId="1F7A2375">
      <w:pPr>
        <w:spacing w:line="360" w:lineRule="auto"/>
        <w:ind w:firstLine="600" w:firstLineChars="200"/>
        <w:rPr>
          <w:rFonts w:hint="eastAsia" w:ascii="方正仿宋_GB2312" w:hAnsi="方正仿宋_GB2312" w:eastAsia="方正仿宋_GB2312" w:cs="方正仿宋_GB2312"/>
          <w:kern w:val="28"/>
          <w:sz w:val="30"/>
          <w:szCs w:val="30"/>
          <w:highlight w:val="none"/>
        </w:rPr>
      </w:pPr>
      <w:r>
        <w:rPr>
          <w:rFonts w:hint="eastAsia" w:ascii="方正仿宋_GB2312" w:hAnsi="方正仿宋_GB2312" w:eastAsia="方正仿宋_GB2312" w:cs="方正仿宋_GB2312"/>
          <w:b w:val="0"/>
          <w:bCs w:val="0"/>
          <w:kern w:val="28"/>
          <w:sz w:val="30"/>
          <w:szCs w:val="30"/>
          <w:highlight w:val="none"/>
        </w:rPr>
        <w:t xml:space="preserve">4.2 </w:t>
      </w:r>
      <w:r>
        <w:rPr>
          <w:rFonts w:hint="eastAsia" w:ascii="方正仿宋_GB2312" w:hAnsi="方正仿宋_GB2312" w:eastAsia="方正仿宋_GB2312" w:cs="方正仿宋_GB2312"/>
          <w:b w:val="0"/>
          <w:bCs w:val="0"/>
          <w:sz w:val="30"/>
          <w:szCs w:val="30"/>
          <w:highlight w:val="none"/>
        </w:rPr>
        <w:t>2025年4月8日前完成初步设计（如果需要）、概算编制</w:t>
      </w:r>
      <w:r>
        <w:rPr>
          <w:rFonts w:hint="eastAsia" w:ascii="方正仿宋_GB2312" w:hAnsi="方正仿宋_GB2312" w:eastAsia="方正仿宋_GB2312" w:cs="方正仿宋_GB2312"/>
          <w:b w:val="0"/>
          <w:bCs w:val="0"/>
          <w:kern w:val="28"/>
          <w:sz w:val="30"/>
          <w:szCs w:val="30"/>
          <w:highlight w:val="none"/>
        </w:rPr>
        <w:t>，提供初步设计文本及工程概算三</w:t>
      </w:r>
      <w:r>
        <w:rPr>
          <w:rFonts w:hint="eastAsia" w:ascii="方正仿宋_GB2312" w:hAnsi="方正仿宋_GB2312" w:eastAsia="方正仿宋_GB2312" w:cs="方正仿宋_GB2312"/>
          <w:kern w:val="28"/>
          <w:sz w:val="30"/>
          <w:szCs w:val="30"/>
          <w:highlight w:val="none"/>
        </w:rPr>
        <w:t>套（3套含电子文档）；</w:t>
      </w:r>
    </w:p>
    <w:p w14:paraId="111E18E9">
      <w:pPr>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kern w:val="28"/>
          <w:sz w:val="30"/>
          <w:szCs w:val="30"/>
          <w:highlight w:val="none"/>
        </w:rPr>
        <w:t xml:space="preserve">4.3 </w:t>
      </w:r>
      <w:r>
        <w:rPr>
          <w:rFonts w:hint="eastAsia" w:ascii="方正仿宋_GB2312" w:hAnsi="方正仿宋_GB2312" w:eastAsia="方正仿宋_GB2312" w:cs="方正仿宋_GB2312"/>
          <w:sz w:val="30"/>
          <w:szCs w:val="30"/>
          <w:highlight w:val="none"/>
        </w:rPr>
        <w:t>2025年4月5日前完成施工图初稿，</w:t>
      </w:r>
      <w:r>
        <w:rPr>
          <w:rFonts w:hint="eastAsia" w:ascii="方正仿宋_GB2312" w:hAnsi="方正仿宋_GB2312" w:eastAsia="方正仿宋_GB2312" w:cs="方正仿宋_GB2312"/>
          <w:kern w:val="28"/>
          <w:sz w:val="30"/>
          <w:szCs w:val="30"/>
          <w:highlight w:val="none"/>
        </w:rPr>
        <w:t>提供施工图文本三套（3套含电子文档）；</w:t>
      </w:r>
    </w:p>
    <w:p w14:paraId="1D91D8C0">
      <w:pPr>
        <w:spacing w:line="360" w:lineRule="auto"/>
        <w:ind w:firstLine="600" w:firstLineChars="200"/>
        <w:rPr>
          <w:rFonts w:hint="eastAsia" w:ascii="方正仿宋_GB2312" w:hAnsi="方正仿宋_GB2312" w:eastAsia="方正仿宋_GB2312" w:cs="方正仿宋_GB2312"/>
          <w:sz w:val="30"/>
          <w:szCs w:val="30"/>
          <w:highlight w:val="none"/>
        </w:rPr>
      </w:pPr>
      <w:r>
        <w:rPr>
          <w:rFonts w:hint="eastAsia" w:ascii="方正仿宋_GB2312" w:hAnsi="方正仿宋_GB2312" w:eastAsia="方正仿宋_GB2312" w:cs="方正仿宋_GB2312"/>
          <w:sz w:val="30"/>
          <w:szCs w:val="30"/>
          <w:highlight w:val="none"/>
        </w:rPr>
        <w:t>4.4 2025年4月15日前施工图经过相关行政行业主管部门及专家审核完成定稿</w:t>
      </w:r>
      <w:r>
        <w:rPr>
          <w:rFonts w:hint="eastAsia" w:ascii="方正仿宋_GB2312" w:hAnsi="方正仿宋_GB2312" w:eastAsia="方正仿宋_GB2312" w:cs="方正仿宋_GB2312"/>
          <w:kern w:val="28"/>
          <w:sz w:val="30"/>
          <w:szCs w:val="30"/>
          <w:highlight w:val="none"/>
        </w:rPr>
        <w:t>，</w:t>
      </w:r>
      <w:r>
        <w:rPr>
          <w:rFonts w:hint="eastAsia" w:ascii="方正仿宋_GB2312" w:hAnsi="方正仿宋_GB2312" w:eastAsia="方正仿宋_GB2312" w:cs="方正仿宋_GB2312"/>
          <w:sz w:val="30"/>
          <w:szCs w:val="30"/>
          <w:highlight w:val="none"/>
        </w:rPr>
        <w:t>提供项目使用单位签字确认的施工图蓝图设计文本八套（8套含电子文档）；</w:t>
      </w:r>
    </w:p>
    <w:p w14:paraId="22354E69">
      <w:pPr>
        <w:spacing w:line="360" w:lineRule="auto"/>
        <w:ind w:firstLine="600" w:firstLineChars="200"/>
        <w:rPr>
          <w:rFonts w:hint="eastAsia" w:ascii="方正仿宋_GB2312" w:hAnsi="方正仿宋_GB2312" w:eastAsia="方正仿宋_GB2312" w:cs="方正仿宋_GB2312"/>
          <w:kern w:val="28"/>
          <w:sz w:val="30"/>
          <w:szCs w:val="30"/>
          <w:highlight w:val="none"/>
        </w:rPr>
      </w:pPr>
      <w:r>
        <w:rPr>
          <w:rFonts w:hint="eastAsia" w:ascii="方正仿宋_GB2312" w:hAnsi="方正仿宋_GB2312" w:eastAsia="方正仿宋_GB2312" w:cs="方正仿宋_GB2312"/>
          <w:kern w:val="28"/>
          <w:sz w:val="30"/>
          <w:szCs w:val="30"/>
          <w:highlight w:val="none"/>
        </w:rPr>
        <w:t>4.4本项目发包人指定的联络人为</w:t>
      </w:r>
      <w:r>
        <w:rPr>
          <w:rFonts w:hint="eastAsia" w:ascii="方正仿宋_GB2312" w:hAnsi="方正仿宋_GB2312" w:eastAsia="方正仿宋_GB2312" w:cs="方正仿宋_GB2312"/>
          <w:kern w:val="28"/>
          <w:sz w:val="30"/>
          <w:szCs w:val="30"/>
          <w:highlight w:val="none"/>
          <w:u w:val="single"/>
        </w:rPr>
        <w:t xml:space="preserve">      </w:t>
      </w:r>
      <w:r>
        <w:rPr>
          <w:rFonts w:hint="eastAsia" w:ascii="方正仿宋_GB2312" w:hAnsi="方正仿宋_GB2312" w:eastAsia="方正仿宋_GB2312" w:cs="方正仿宋_GB2312"/>
          <w:kern w:val="28"/>
          <w:sz w:val="30"/>
          <w:szCs w:val="30"/>
          <w:highlight w:val="none"/>
        </w:rPr>
        <w:t>，发包人指令均由发包人指定的联络人以微信、邮件或书面形式发出为准，其中微信、邮件以发出时间为准，书面形式以送达设计人为准。未按发包人通知开展工作的，发包人不支付相应费用。</w:t>
      </w:r>
    </w:p>
    <w:p w14:paraId="72832BF7">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highlight w:val="none"/>
        </w:rPr>
        <w:t>4.5以上各阶段设计周期，如因发包人及入驻单位原因造成延误的，经发包人确认后，设计周期可以相应顺延。如上各阶段设计文件形式、份数在实施过程中发生的变化的，设</w:t>
      </w:r>
      <w:r>
        <w:rPr>
          <w:rFonts w:hint="eastAsia" w:ascii="方正仿宋_GB2312" w:hAnsi="方正仿宋_GB2312" w:eastAsia="方正仿宋_GB2312" w:cs="方正仿宋_GB2312"/>
          <w:kern w:val="28"/>
          <w:sz w:val="30"/>
          <w:szCs w:val="30"/>
        </w:rPr>
        <w:t>计人应按发包人要求提供，费用不另行支付。</w:t>
      </w:r>
    </w:p>
    <w:p w14:paraId="3E738FDD">
      <w:pPr>
        <w:spacing w:line="360" w:lineRule="auto"/>
        <w:ind w:firstLine="301" w:firstLineChars="1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b/>
          <w:bCs/>
          <w:sz w:val="30"/>
          <w:szCs w:val="30"/>
        </w:rPr>
        <w:t xml:space="preserve">第五条 </w:t>
      </w:r>
      <w:r>
        <w:rPr>
          <w:rFonts w:hint="eastAsia" w:ascii="方正仿宋_GB2312" w:hAnsi="方正仿宋_GB2312" w:eastAsia="方正仿宋_GB2312" w:cs="方正仿宋_GB2312"/>
          <w:kern w:val="28"/>
          <w:sz w:val="30"/>
          <w:szCs w:val="30"/>
        </w:rPr>
        <w:t>结算及支付方式</w:t>
      </w:r>
    </w:p>
    <w:p w14:paraId="632017DE">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5.1 结算原则</w:t>
      </w:r>
    </w:p>
    <w:p w14:paraId="48FE9DA7">
      <w:pPr>
        <w:spacing w:line="580" w:lineRule="exact"/>
        <w:ind w:firstLine="600" w:firstLineChars="200"/>
        <w:rPr>
          <w:rFonts w:hint="eastAsia" w:ascii="方正仿宋_GB2312" w:hAnsi="方正仿宋_GB2312" w:eastAsia="方正仿宋_GB2312" w:cs="方正仿宋_GB2312"/>
          <w:color w:val="000000"/>
          <w:kern w:val="28"/>
          <w:sz w:val="30"/>
          <w:szCs w:val="30"/>
        </w:rPr>
      </w:pPr>
      <w:r>
        <w:rPr>
          <w:rFonts w:hint="eastAsia" w:ascii="方正仿宋_GB2312" w:hAnsi="方正仿宋_GB2312" w:eastAsia="方正仿宋_GB2312" w:cs="方正仿宋_GB2312"/>
          <w:color w:val="000000"/>
          <w:kern w:val="28"/>
          <w:sz w:val="30"/>
          <w:szCs w:val="30"/>
        </w:rPr>
        <w:t>本合同设计费执行固定单价，设计费结算金额=Σ各设计部位建设工程规划许可证及其附件上载明建筑面积×各设计部位固定单价±违约金及其他费用，各部位设计结算价合计在96.15万元及以内的，各部位设计费按实结算，各部位设计费结算价合计超过96.15万元的，项目设计费按96.15万元包干使用，超过部分设计费发包人不支付。各设计部位、设计阶段完成后，可单独办理结算，设计人应按合同约定及时完成设计任务，在接到发包人通知并完成阶段设计任务后按各设计部位各阶段设计占各设计部位设计费结算价的比例支付相应设计费；未接到发包人通知开展阶段设计工作的，发包人不支付相应设计阶段费用。发包人可以根据需要调整设计范围、功能分区、医院流程等招标范围内所涉及的所有设计内容，各部位设计费固定单价不作调整，设计人不得因以上原因向发包人提请索赔。</w:t>
      </w:r>
    </w:p>
    <w:p w14:paraId="4F19DB55">
      <w:pPr>
        <w:spacing w:line="580" w:lineRule="exact"/>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color w:val="000000"/>
          <w:kern w:val="28"/>
          <w:sz w:val="30"/>
          <w:szCs w:val="30"/>
        </w:rPr>
        <w:t>各设计部位各阶段设计费用占比：</w:t>
      </w:r>
      <w:r>
        <w:rPr>
          <w:rFonts w:hint="eastAsia" w:ascii="方正仿宋_GB2312" w:hAnsi="方正仿宋_GB2312" w:eastAsia="方正仿宋_GB2312" w:cs="方正仿宋_GB2312"/>
          <w:kern w:val="28"/>
          <w:sz w:val="30"/>
          <w:szCs w:val="30"/>
        </w:rPr>
        <w:t>合同双方约定各设计部位方案设计阶段（包括概念性方案设计、效果图设计（包含平面、立面、侧面及鸟瞰图）、方案设计、投资估算）占对应设计部位设计费结算总价的20%；初步设计阶段（包括初步设计（如果需要）、概算编制）占</w:t>
      </w:r>
      <w:r>
        <w:rPr>
          <w:rFonts w:hint="eastAsia" w:ascii="方正仿宋_GB2312" w:hAnsi="方正仿宋_GB2312" w:eastAsia="方正仿宋_GB2312" w:cs="方正仿宋_GB2312"/>
          <w:color w:val="000000"/>
          <w:kern w:val="28"/>
          <w:sz w:val="30"/>
          <w:szCs w:val="30"/>
        </w:rPr>
        <w:t>各设计部位</w:t>
      </w:r>
      <w:r>
        <w:rPr>
          <w:rFonts w:hint="eastAsia" w:ascii="方正仿宋_GB2312" w:hAnsi="方正仿宋_GB2312" w:eastAsia="方正仿宋_GB2312" w:cs="方正仿宋_GB2312"/>
          <w:kern w:val="28"/>
          <w:sz w:val="30"/>
          <w:szCs w:val="30"/>
        </w:rPr>
        <w:t>设计部位设计费结算总价10%；施工图设计阶段（包括施工图设计、专项设计等）占对应设计部位设计费结算总价55%；施工过程及缺陷责任期设计服务（包括施工现场设计服务、竣工验收、质保期服务及其他设计审批配合服务）占对应设计部位设计费结算总价15%。</w:t>
      </w:r>
    </w:p>
    <w:p w14:paraId="618D754A">
      <w:pPr>
        <w:spacing w:line="360" w:lineRule="auto"/>
        <w:ind w:firstLine="600" w:firstLineChars="200"/>
        <w:rPr>
          <w:rFonts w:hint="eastAsia" w:ascii="方正仿宋_GB2312" w:hAnsi="方正仿宋_GB2312" w:eastAsia="方正仿宋_GB2312" w:cs="方正仿宋_GB2312"/>
          <w:color w:val="000000"/>
          <w:sz w:val="30"/>
          <w:szCs w:val="30"/>
          <w:lang w:val="en-GB"/>
        </w:rPr>
      </w:pPr>
      <w:r>
        <w:rPr>
          <w:rFonts w:hint="eastAsia" w:ascii="方正仿宋_GB2312" w:hAnsi="方正仿宋_GB2312" w:eastAsia="方正仿宋_GB2312" w:cs="方正仿宋_GB2312"/>
          <w:bCs/>
          <w:color w:val="000000"/>
          <w:sz w:val="30"/>
          <w:szCs w:val="30"/>
        </w:rPr>
        <w:t>5.2经双方协商一致，各部位各阶段</w:t>
      </w:r>
      <w:r>
        <w:rPr>
          <w:rFonts w:hint="eastAsia" w:ascii="方正仿宋_GB2312" w:hAnsi="方正仿宋_GB2312" w:eastAsia="方正仿宋_GB2312" w:cs="方正仿宋_GB2312"/>
          <w:color w:val="000000"/>
          <w:sz w:val="30"/>
          <w:szCs w:val="30"/>
          <w:lang w:val="en-GB"/>
        </w:rPr>
        <w:t>支付方式如下：</w:t>
      </w:r>
    </w:p>
    <w:p w14:paraId="7D9158C2">
      <w:pPr>
        <w:spacing w:line="360" w:lineRule="auto"/>
        <w:ind w:firstLine="600" w:firstLineChars="200"/>
        <w:rPr>
          <w:rFonts w:hint="eastAsia" w:ascii="方正仿宋_GB2312" w:hAnsi="方正仿宋_GB2312" w:eastAsia="方正仿宋_GB2312" w:cs="方正仿宋_GB2312"/>
          <w:bCs/>
          <w:color w:val="000000"/>
          <w:sz w:val="30"/>
          <w:szCs w:val="30"/>
        </w:rPr>
      </w:pPr>
      <w:r>
        <w:rPr>
          <w:rFonts w:hint="eastAsia" w:ascii="方正仿宋_GB2312" w:hAnsi="方正仿宋_GB2312" w:eastAsia="方正仿宋_GB2312" w:cs="方正仿宋_GB2312"/>
          <w:bCs/>
          <w:color w:val="000000"/>
          <w:sz w:val="30"/>
          <w:szCs w:val="30"/>
        </w:rPr>
        <w:t>5.2.1各部位方案设计审批完成（如不需行政主管部门审批，则由发包人确认）后15个工作日内支付方案设计阶段设计费。</w:t>
      </w:r>
    </w:p>
    <w:p w14:paraId="1AF2C7B3">
      <w:pPr>
        <w:spacing w:line="360" w:lineRule="auto"/>
        <w:ind w:firstLine="600" w:firstLineChars="200"/>
        <w:rPr>
          <w:rFonts w:hint="eastAsia" w:ascii="方正仿宋_GB2312" w:hAnsi="方正仿宋_GB2312" w:eastAsia="方正仿宋_GB2312" w:cs="方正仿宋_GB2312"/>
          <w:bCs/>
          <w:color w:val="000000"/>
          <w:sz w:val="30"/>
          <w:szCs w:val="30"/>
          <w:highlight w:val="none"/>
        </w:rPr>
      </w:pPr>
      <w:r>
        <w:rPr>
          <w:rFonts w:hint="eastAsia" w:ascii="方正仿宋_GB2312" w:hAnsi="方正仿宋_GB2312" w:eastAsia="方正仿宋_GB2312" w:cs="方正仿宋_GB2312"/>
          <w:bCs/>
          <w:color w:val="000000"/>
          <w:sz w:val="30"/>
          <w:szCs w:val="30"/>
        </w:rPr>
        <w:t>5.2.2初步设计审批完成并取得批复（如不需行政主管部门审批，则由发包人确认</w:t>
      </w:r>
      <w:r>
        <w:rPr>
          <w:rFonts w:hint="eastAsia" w:ascii="方正仿宋_GB2312" w:hAnsi="方正仿宋_GB2312" w:eastAsia="方正仿宋_GB2312" w:cs="方正仿宋_GB2312"/>
          <w:bCs/>
          <w:color w:val="000000"/>
          <w:sz w:val="30"/>
          <w:szCs w:val="30"/>
          <w:highlight w:val="none"/>
        </w:rPr>
        <w:t>）及概算批复后15个工作日内支付初步设计阶段设计费。</w:t>
      </w:r>
    </w:p>
    <w:p w14:paraId="641010B2">
      <w:pPr>
        <w:spacing w:line="360" w:lineRule="auto"/>
        <w:ind w:firstLine="600" w:firstLineChars="200"/>
        <w:rPr>
          <w:rFonts w:hint="eastAsia" w:ascii="方正仿宋_GB2312" w:hAnsi="方正仿宋_GB2312" w:eastAsia="方正仿宋_GB2312" w:cs="方正仿宋_GB2312"/>
          <w:bCs/>
          <w:color w:val="000000"/>
          <w:sz w:val="30"/>
          <w:szCs w:val="30"/>
          <w:highlight w:val="none"/>
        </w:rPr>
      </w:pPr>
      <w:r>
        <w:rPr>
          <w:rFonts w:hint="eastAsia" w:ascii="方正仿宋_GB2312" w:hAnsi="方正仿宋_GB2312" w:eastAsia="方正仿宋_GB2312" w:cs="方正仿宋_GB2312"/>
          <w:bCs/>
          <w:color w:val="000000"/>
          <w:sz w:val="30"/>
          <w:szCs w:val="30"/>
          <w:highlight w:val="none"/>
        </w:rPr>
        <w:t>5.2.3施工图审查完成、经行政主管部门或专家评审并取得审查合格书后15个工作日内支付施工图设计阶段设计费。</w:t>
      </w:r>
    </w:p>
    <w:p w14:paraId="749E498B">
      <w:pPr>
        <w:spacing w:line="360" w:lineRule="auto"/>
        <w:ind w:firstLine="600" w:firstLineChars="200"/>
        <w:rPr>
          <w:rFonts w:hint="eastAsia" w:ascii="方正仿宋_GB2312" w:hAnsi="方正仿宋_GB2312" w:eastAsia="方正仿宋_GB2312" w:cs="方正仿宋_GB2312"/>
          <w:bCs/>
          <w:color w:val="000000"/>
          <w:sz w:val="30"/>
          <w:szCs w:val="30"/>
          <w:highlight w:val="none"/>
        </w:rPr>
      </w:pPr>
      <w:r>
        <w:rPr>
          <w:rFonts w:hint="eastAsia" w:ascii="方正仿宋_GB2312" w:hAnsi="方正仿宋_GB2312" w:eastAsia="方正仿宋_GB2312" w:cs="方正仿宋_GB2312"/>
          <w:bCs/>
          <w:color w:val="000000"/>
          <w:sz w:val="30"/>
          <w:szCs w:val="30"/>
          <w:highlight w:val="none"/>
        </w:rPr>
        <w:t>5.2.4工程竣工验收合格后15个工作日内支付施工过程及缺陷责任期设计服务阶段设计费。</w:t>
      </w:r>
    </w:p>
    <w:p w14:paraId="5AB8D4F4">
      <w:pPr>
        <w:spacing w:line="360" w:lineRule="auto"/>
        <w:ind w:firstLine="600" w:firstLineChars="200"/>
        <w:rPr>
          <w:rFonts w:hint="eastAsia" w:ascii="方正仿宋_GB2312" w:hAnsi="方正仿宋_GB2312" w:eastAsia="方正仿宋_GB2312" w:cs="方正仿宋_GB2312"/>
          <w:bCs/>
          <w:color w:val="000000"/>
          <w:sz w:val="30"/>
          <w:szCs w:val="30"/>
          <w:highlight w:val="none"/>
        </w:rPr>
      </w:pPr>
      <w:r>
        <w:rPr>
          <w:rFonts w:hint="eastAsia" w:ascii="方正仿宋_GB2312" w:hAnsi="方正仿宋_GB2312" w:eastAsia="方正仿宋_GB2312" w:cs="方正仿宋_GB2312"/>
          <w:bCs/>
          <w:color w:val="000000"/>
          <w:sz w:val="30"/>
          <w:szCs w:val="30"/>
          <w:highlight w:val="none"/>
        </w:rPr>
        <w:t>5.2.5付款时，设计人应按发包人要求提供等额、有效、合法的增值税</w:t>
      </w:r>
      <w:r>
        <w:rPr>
          <w:rFonts w:hint="eastAsia" w:ascii="方正仿宋_GB2312" w:hAnsi="方正仿宋_GB2312" w:eastAsia="方正仿宋_GB2312" w:cs="方正仿宋_GB2312"/>
          <w:b/>
          <w:bCs/>
          <w:color w:val="000000"/>
          <w:sz w:val="30"/>
          <w:szCs w:val="30"/>
          <w:highlight w:val="none"/>
        </w:rPr>
        <w:t>专用发票</w:t>
      </w:r>
      <w:r>
        <w:rPr>
          <w:rFonts w:hint="eastAsia" w:ascii="方正仿宋_GB2312" w:hAnsi="方正仿宋_GB2312" w:eastAsia="方正仿宋_GB2312" w:cs="方正仿宋_GB2312"/>
          <w:bCs/>
          <w:color w:val="000000"/>
          <w:sz w:val="30"/>
          <w:szCs w:val="30"/>
          <w:highlight w:val="none"/>
        </w:rPr>
        <w:t>并提出付款申请，待包发人内部流程审批完成后予以支付，不计利息；</w:t>
      </w:r>
      <w:r>
        <w:rPr>
          <w:rFonts w:hint="eastAsia" w:ascii="方正仿宋_GB2312" w:hAnsi="方正仿宋_GB2312" w:eastAsia="方正仿宋_GB2312" w:cs="方正仿宋_GB2312"/>
          <w:bCs/>
          <w:sz w:val="30"/>
          <w:szCs w:val="30"/>
          <w:highlight w:val="none"/>
        </w:rPr>
        <w:t>如设计人未提出付款申请和提供合格有效发票，发包人有权暂缓付款并不承担相应的违约责任。</w:t>
      </w:r>
    </w:p>
    <w:p w14:paraId="6614CBD1">
      <w:pPr>
        <w:spacing w:line="360" w:lineRule="auto"/>
        <w:ind w:right="134" w:rightChars="64" w:firstLine="602" w:firstLineChars="200"/>
        <w:rPr>
          <w:rFonts w:hint="eastAsia" w:ascii="方正仿宋_GB2312" w:hAnsi="方正仿宋_GB2312" w:eastAsia="方正仿宋_GB2312" w:cs="方正仿宋_GB2312"/>
          <w:kern w:val="28"/>
          <w:sz w:val="30"/>
          <w:szCs w:val="30"/>
          <w:highlight w:val="none"/>
        </w:rPr>
      </w:pPr>
      <w:r>
        <w:rPr>
          <w:rFonts w:hint="eastAsia" w:ascii="方正仿宋_GB2312" w:hAnsi="方正仿宋_GB2312" w:eastAsia="方正仿宋_GB2312" w:cs="方正仿宋_GB2312"/>
          <w:b/>
          <w:bCs/>
          <w:kern w:val="28"/>
          <w:sz w:val="30"/>
          <w:szCs w:val="30"/>
          <w:highlight w:val="none"/>
        </w:rPr>
        <w:t>第六条</w:t>
      </w:r>
      <w:r>
        <w:rPr>
          <w:rFonts w:hint="eastAsia" w:ascii="方正仿宋_GB2312" w:hAnsi="方正仿宋_GB2312" w:eastAsia="方正仿宋_GB2312" w:cs="方正仿宋_GB2312"/>
          <w:kern w:val="28"/>
          <w:sz w:val="30"/>
          <w:szCs w:val="30"/>
          <w:highlight w:val="none"/>
        </w:rPr>
        <w:t xml:space="preserve">  双方权利义务</w:t>
      </w:r>
    </w:p>
    <w:p w14:paraId="5EF9C06A">
      <w:pPr>
        <w:spacing w:line="360" w:lineRule="auto"/>
        <w:ind w:right="134" w:rightChars="64" w:firstLine="600" w:firstLineChars="200"/>
        <w:rPr>
          <w:rFonts w:hint="eastAsia" w:ascii="方正仿宋_GB2312" w:hAnsi="方正仿宋_GB2312" w:eastAsia="方正仿宋_GB2312" w:cs="方正仿宋_GB2312"/>
          <w:kern w:val="28"/>
          <w:sz w:val="30"/>
          <w:szCs w:val="30"/>
          <w:highlight w:val="none"/>
        </w:rPr>
      </w:pPr>
      <w:r>
        <w:rPr>
          <w:rFonts w:hint="eastAsia" w:ascii="方正仿宋_GB2312" w:hAnsi="方正仿宋_GB2312" w:eastAsia="方正仿宋_GB2312" w:cs="方正仿宋_GB2312"/>
          <w:kern w:val="28"/>
          <w:sz w:val="30"/>
          <w:szCs w:val="30"/>
          <w:highlight w:val="none"/>
        </w:rPr>
        <w:t>6.1发包人权利义务</w:t>
      </w:r>
    </w:p>
    <w:p w14:paraId="2E5782F1">
      <w:pPr>
        <w:spacing w:line="360" w:lineRule="auto"/>
        <w:ind w:right="134" w:rightChars="64" w:firstLine="600" w:firstLineChars="200"/>
        <w:rPr>
          <w:rFonts w:hint="eastAsia" w:ascii="方正仿宋_GB2312" w:hAnsi="方正仿宋_GB2312" w:eastAsia="方正仿宋_GB2312" w:cs="方正仿宋_GB2312"/>
          <w:kern w:val="28"/>
          <w:sz w:val="30"/>
          <w:szCs w:val="30"/>
          <w:highlight w:val="none"/>
        </w:rPr>
      </w:pPr>
      <w:r>
        <w:rPr>
          <w:rFonts w:hint="eastAsia" w:ascii="方正仿宋_GB2312" w:hAnsi="方正仿宋_GB2312" w:eastAsia="方正仿宋_GB2312" w:cs="方正仿宋_GB2312"/>
          <w:kern w:val="28"/>
          <w:sz w:val="30"/>
          <w:szCs w:val="30"/>
          <w:highlight w:val="none"/>
        </w:rPr>
        <w:t>6.1.1发包人不得要求设计人违反国家有关法律、法规及其它相应政府部门文件等有关规定及国家有关标准、规范进行设计。</w:t>
      </w:r>
    </w:p>
    <w:p w14:paraId="6E47289F">
      <w:pPr>
        <w:spacing w:line="360" w:lineRule="auto"/>
        <w:ind w:right="134" w:rightChars="64"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highlight w:val="none"/>
        </w:rPr>
        <w:t>6.1.2发包人</w:t>
      </w:r>
      <w:r>
        <w:rPr>
          <w:rFonts w:hint="eastAsia" w:ascii="方正仿宋_GB2312" w:hAnsi="方正仿宋_GB2312" w:eastAsia="方正仿宋_GB2312" w:cs="方正仿宋_GB2312"/>
          <w:sz w:val="30"/>
          <w:szCs w:val="30"/>
          <w:highlight w:val="none"/>
        </w:rPr>
        <w:t>应向设计人</w:t>
      </w:r>
      <w:r>
        <w:rPr>
          <w:rFonts w:hint="eastAsia" w:ascii="方正仿宋_GB2312" w:hAnsi="方正仿宋_GB2312" w:eastAsia="方正仿宋_GB2312" w:cs="方正仿宋_GB2312"/>
          <w:kern w:val="28"/>
          <w:sz w:val="30"/>
          <w:szCs w:val="30"/>
          <w:highlight w:val="none"/>
        </w:rPr>
        <w:t>提交必要的资料及文件，若发包人未能及时</w:t>
      </w:r>
      <w:r>
        <w:rPr>
          <w:rFonts w:hint="eastAsia" w:ascii="方正仿宋_GB2312" w:hAnsi="方正仿宋_GB2312" w:eastAsia="方正仿宋_GB2312" w:cs="方正仿宋_GB2312"/>
          <w:sz w:val="30"/>
          <w:szCs w:val="30"/>
          <w:highlight w:val="none"/>
        </w:rPr>
        <w:t>向设计人</w:t>
      </w:r>
      <w:r>
        <w:rPr>
          <w:rFonts w:hint="eastAsia" w:ascii="方正仿宋_GB2312" w:hAnsi="方正仿宋_GB2312" w:eastAsia="方正仿宋_GB2312" w:cs="方正仿宋_GB2312"/>
          <w:kern w:val="28"/>
          <w:sz w:val="30"/>
          <w:szCs w:val="30"/>
          <w:highlight w:val="none"/>
        </w:rPr>
        <w:t>提交必要的资料及文件，超过约定时间15天及以上的，设计人有权重新确定提交设计文件</w:t>
      </w:r>
      <w:r>
        <w:rPr>
          <w:rFonts w:hint="eastAsia" w:ascii="方正仿宋_GB2312" w:hAnsi="方正仿宋_GB2312" w:eastAsia="方正仿宋_GB2312" w:cs="方正仿宋_GB2312"/>
          <w:kern w:val="28"/>
          <w:sz w:val="30"/>
          <w:szCs w:val="30"/>
        </w:rPr>
        <w:t>的时间。</w:t>
      </w:r>
    </w:p>
    <w:p w14:paraId="7FB58AB2">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6.2设计人</w:t>
      </w:r>
      <w:r>
        <w:rPr>
          <w:rFonts w:hint="eastAsia" w:ascii="方正仿宋_GB2312" w:hAnsi="方正仿宋_GB2312" w:eastAsia="方正仿宋_GB2312" w:cs="方正仿宋_GB2312"/>
          <w:kern w:val="28"/>
          <w:sz w:val="30"/>
          <w:szCs w:val="30"/>
        </w:rPr>
        <w:t>权利义务</w:t>
      </w:r>
    </w:p>
    <w:p w14:paraId="7296D90E">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6.2.1设计人应安排专人负责该项目的设计工作，并将设计人员安排报发包人备案；设计人应严格按照《</w:t>
      </w:r>
      <w:r>
        <w:rPr>
          <w:rFonts w:hint="eastAsia" w:ascii="方正仿宋_GB2312" w:hAnsi="方正仿宋_GB2312" w:eastAsia="方正仿宋_GB2312" w:cs="方正仿宋_GB2312"/>
          <w:kern w:val="28"/>
          <w:sz w:val="30"/>
          <w:szCs w:val="30"/>
        </w:rPr>
        <w:t>建设用地规划许可证》、方案批文及其它相应政府部门批文</w:t>
      </w:r>
      <w:r>
        <w:rPr>
          <w:rFonts w:hint="eastAsia" w:ascii="方正仿宋_GB2312" w:hAnsi="方正仿宋_GB2312" w:eastAsia="方正仿宋_GB2312" w:cs="方正仿宋_GB2312"/>
          <w:sz w:val="30"/>
          <w:szCs w:val="30"/>
        </w:rPr>
        <w:t>的有关规定，有关工程强制性标准，国家和地方技术规范、标准、规程及项目使用企业需求、发包人提出的设计要求进行工程设计，按合同规定的进度要求提交质量合格的设计资料，并对其质量负责。</w:t>
      </w:r>
    </w:p>
    <w:p w14:paraId="2011DACF">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6.2.2因设计人造成的设计失误或漏项，给发包人带来返工或重大经济损失的，发包人有权解除合同，且设计人应按合同金额的30%向发包人支付违约金并应按实际损失结算金额对发包人进行赔偿。</w:t>
      </w:r>
    </w:p>
    <w:p w14:paraId="68040041">
      <w:pPr>
        <w:spacing w:line="360" w:lineRule="auto"/>
        <w:ind w:right="134" w:rightChars="64"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6.2.3设计人员若不能达到发包人的工作进度要求，发包人有权提出更换人员，设计单位应在3个工作日内完成人员调整工作，设计人拒绝更换，发包人有权单方面解除合同，合同解除后，发包人不支付设计人因投标准备、投标、设计准备、已完成设计工作等产生的所有费用，设计人应无条件将已完成的设计成果提交发包人使用；因设计人原因，造成设计人的设计节点进度与合同约定的节点进度相比，累计延迟15日历天的，发包人有权单方面解除合同，合同解除后，发包人不支付设计人因投标准备、投标、设计准备、已完成设计工作等产生的所有费用，设计人应无条件将已完成的设计成果提交发包人使用。</w:t>
      </w:r>
    </w:p>
    <w:p w14:paraId="7C8A9B45">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6.2.4设计人其它责任：</w:t>
      </w:r>
      <w:r>
        <w:rPr>
          <w:rFonts w:hint="eastAsia" w:ascii="方正仿宋_GB2312" w:hAnsi="方正仿宋_GB2312" w:eastAsia="方正仿宋_GB2312" w:cs="方正仿宋_GB2312"/>
          <w:sz w:val="30"/>
          <w:szCs w:val="30"/>
        </w:rPr>
        <w:t>按发包人要求向有关部门汇报设计成果；协调有关审批部门进行方案和初设审查、概算审核和施工图审查并自行承担相应费用；按需要在项目实施阶段提供相应的咨询、解答、变更设计、竣工验收等服务。设计人各项义务所发生的费用，均包含在合同单价及总价内，不另支付。</w:t>
      </w:r>
    </w:p>
    <w:p w14:paraId="6C73A837">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6.2.5设计人采用的主要技术标准是：</w:t>
      </w:r>
    </w:p>
    <w:p w14:paraId="2C093374">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6.2.5.1符合国家有关法律法规及条例、国家现行技术规范及通则；</w:t>
      </w:r>
    </w:p>
    <w:p w14:paraId="7807AB26">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6.2.5.2符合重庆市现行有关规定。</w:t>
      </w:r>
    </w:p>
    <w:p w14:paraId="593DD1FB">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6.2.5.3设计合理使用年限：按国家相应规范要求执行。</w:t>
      </w:r>
    </w:p>
    <w:p w14:paraId="33AD69B8">
      <w:pPr>
        <w:spacing w:line="360" w:lineRule="auto"/>
        <w:ind w:right="-155" w:rightChars="-7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6.2.6设计人按本合同第二条和第四条规定的内容、进度及份数向发包人交付资料及文件。</w:t>
      </w:r>
    </w:p>
    <w:p w14:paraId="1EBD8206">
      <w:pPr>
        <w:spacing w:line="360" w:lineRule="auto"/>
        <w:ind w:right="-155" w:rightChars="-7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6.2.7设计人交付设计资料及文件后，按规定参加有关的设计审查，并根据审查结论负责做必要调整补充。设计人按合同规定的时限交付设计资料及文件。</w:t>
      </w:r>
    </w:p>
    <w:p w14:paraId="6731F346">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6.2.8 因设计人的原因造成工程设计文件不合格的，发包人有权要求设计人采取整改措施，且须在发包人规定的时间内完善达到合同约定和行政主管部门要求的质量标准，如设计人整改两次及以上仍达不到要求、拒绝整改或未在规定的时间内整改完成累计延迟超过10日历天的，</w:t>
      </w:r>
      <w:r>
        <w:rPr>
          <w:rFonts w:hint="eastAsia" w:ascii="方正仿宋_GB2312" w:hAnsi="方正仿宋_GB2312" w:eastAsia="方正仿宋_GB2312" w:cs="方正仿宋_GB2312"/>
          <w:sz w:val="30"/>
          <w:szCs w:val="30"/>
        </w:rPr>
        <w:t>发包人有权单方面解除合同。</w:t>
      </w:r>
      <w:r>
        <w:rPr>
          <w:rFonts w:hint="eastAsia" w:ascii="方正仿宋_GB2312" w:hAnsi="方正仿宋_GB2312" w:eastAsia="方正仿宋_GB2312" w:cs="方正仿宋_GB2312"/>
          <w:kern w:val="28"/>
          <w:sz w:val="30"/>
          <w:szCs w:val="30"/>
        </w:rPr>
        <w:t>合同解除后，发包人不支付设计人因投标准备、投标、设计准备、已完成设计工作等产生的所有费用</w:t>
      </w:r>
      <w:r>
        <w:rPr>
          <w:rFonts w:hint="eastAsia" w:ascii="方正仿宋_GB2312" w:hAnsi="方正仿宋_GB2312" w:eastAsia="方正仿宋_GB2312" w:cs="方正仿宋_GB2312"/>
          <w:sz w:val="30"/>
          <w:szCs w:val="30"/>
        </w:rPr>
        <w:t>。</w:t>
      </w:r>
    </w:p>
    <w:p w14:paraId="024EAF22">
      <w:pPr>
        <w:spacing w:line="360" w:lineRule="auto"/>
        <w:ind w:right="134" w:rightChars="6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6.2.9</w:t>
      </w:r>
      <w:r>
        <w:rPr>
          <w:rFonts w:hint="eastAsia" w:ascii="方正仿宋_GB2312" w:hAnsi="方正仿宋_GB2312" w:eastAsia="方正仿宋_GB2312" w:cs="方正仿宋_GB2312"/>
          <w:color w:val="000000"/>
          <w:sz w:val="30"/>
          <w:szCs w:val="30"/>
        </w:rPr>
        <w:t>因设计人的原因造成工程设计文件不合格的，</w:t>
      </w:r>
      <w:r>
        <w:rPr>
          <w:rFonts w:hint="eastAsia" w:ascii="方正仿宋_GB2312" w:hAnsi="方正仿宋_GB2312" w:eastAsia="方正仿宋_GB2312" w:cs="方正仿宋_GB2312"/>
          <w:sz w:val="30"/>
          <w:szCs w:val="30"/>
        </w:rPr>
        <w:t>给发包人带来返工及重大经济损失超过50万元及以上的，设计人应按合同金额的30%向发包人支付违约金并应按实际损失结算金额对发包人进行赔偿，同时发包人有权单方面解除合同，</w:t>
      </w:r>
      <w:r>
        <w:rPr>
          <w:rFonts w:hint="eastAsia" w:ascii="方正仿宋_GB2312" w:hAnsi="方正仿宋_GB2312" w:eastAsia="方正仿宋_GB2312" w:cs="方正仿宋_GB2312"/>
          <w:kern w:val="28"/>
          <w:sz w:val="30"/>
          <w:szCs w:val="30"/>
        </w:rPr>
        <w:t>合同解除后，发包人不支付设计人因投标准备、投标、设计准备、已完成设计工作等产生的所有费用</w:t>
      </w:r>
      <w:r>
        <w:rPr>
          <w:rFonts w:hint="eastAsia" w:ascii="方正仿宋_GB2312" w:hAnsi="方正仿宋_GB2312" w:eastAsia="方正仿宋_GB2312" w:cs="方正仿宋_GB2312"/>
          <w:sz w:val="30"/>
          <w:szCs w:val="30"/>
        </w:rPr>
        <w:t>。</w:t>
      </w:r>
    </w:p>
    <w:p w14:paraId="1FA151A4">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color w:val="000000"/>
          <w:sz w:val="30"/>
          <w:szCs w:val="30"/>
        </w:rPr>
        <w:t>6.2.10设计人须保护发包人的知识产权。不得向第三人泄露、转让发包人提交的文件资料、图纸等技术经济资料与本项目设计成果；也不得用于本合同项目外的任何项目。如发生以上情况</w:t>
      </w:r>
      <w:r>
        <w:rPr>
          <w:rFonts w:hint="eastAsia" w:ascii="方正仿宋_GB2312" w:hAnsi="方正仿宋_GB2312" w:eastAsia="方正仿宋_GB2312" w:cs="方正仿宋_GB2312"/>
          <w:sz w:val="30"/>
          <w:szCs w:val="30"/>
        </w:rPr>
        <w:t>给发包人造成严重后果或经济损失超过10万元及以上的，设计人须承担相应的经济赔偿责任及民事、刑事责任。</w:t>
      </w:r>
    </w:p>
    <w:p w14:paraId="0AC5D374">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6.2.10设计人应配合发包人完成方案审查，初设、概算审查及批复，施工图审查，以及施工过程中的各项设计服务、竣工验收等；费用包括在投标报价中，委托人不另行支付费用。</w:t>
      </w:r>
    </w:p>
    <w:p w14:paraId="624DCF92">
      <w:pPr>
        <w:spacing w:line="360" w:lineRule="auto"/>
        <w:ind w:right="-155" w:rightChars="-74"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z w:val="30"/>
          <w:szCs w:val="30"/>
        </w:rPr>
        <w:t>第七条</w:t>
      </w:r>
      <w:r>
        <w:rPr>
          <w:rFonts w:hint="eastAsia" w:ascii="方正仿宋_GB2312" w:hAnsi="方正仿宋_GB2312" w:eastAsia="方正仿宋_GB2312" w:cs="方正仿宋_GB2312"/>
          <w:sz w:val="30"/>
          <w:szCs w:val="30"/>
        </w:rPr>
        <w:t xml:space="preserve"> 违约责任：</w:t>
      </w:r>
    </w:p>
    <w:p w14:paraId="5E210A59">
      <w:pPr>
        <w:spacing w:line="360" w:lineRule="auto"/>
        <w:ind w:right="-155" w:rightChars="-7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7.1在合同履行期间，发包人要求终止或解除合同，设计人接到发包人通知但未开始设计工作的，发包人不支付设计费；设计人已接到发包人开始阶段设计工作指令且已完成设计工作的，发包人应根据设计人已完成的实际工作量的50%支付设计费。未接到发包人开展设计工作指令开展设计工作的，发包人不支付相应费用。</w:t>
      </w:r>
    </w:p>
    <w:p w14:paraId="3496F144">
      <w:pPr>
        <w:spacing w:line="360" w:lineRule="auto"/>
        <w:ind w:right="-155" w:rightChars="-74"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7.2发包人应按本合同第五条规定的金额和时间向设计人支付设计费。逾期超过30天以上时，设计人不得暂停工作，应书面催告发包人付款。</w:t>
      </w:r>
    </w:p>
    <w:p w14:paraId="1DB29DFD">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sz w:val="30"/>
          <w:szCs w:val="30"/>
        </w:rPr>
        <w:t>7</w:t>
      </w:r>
      <w:r>
        <w:rPr>
          <w:rFonts w:hint="eastAsia" w:ascii="方正仿宋_GB2312" w:hAnsi="方正仿宋_GB2312" w:eastAsia="方正仿宋_GB2312" w:cs="方正仿宋_GB2312"/>
          <w:kern w:val="28"/>
          <w:sz w:val="30"/>
          <w:szCs w:val="30"/>
        </w:rPr>
        <w:t>.3同生效后，设计人要求终止或解除合同，发包人已支付设计费用的，设计人应双倍返还发包人已支付的设计费用。</w:t>
      </w:r>
    </w:p>
    <w:p w14:paraId="6863B60B">
      <w:pPr>
        <w:spacing w:line="360" w:lineRule="auto"/>
        <w:ind w:firstLine="602" w:firstLineChars="200"/>
        <w:rPr>
          <w:rFonts w:hint="eastAsia" w:ascii="方正仿宋_GB2312" w:hAnsi="方正仿宋_GB2312" w:eastAsia="方正仿宋_GB2312" w:cs="方正仿宋_GB2312"/>
          <w:b/>
          <w:bCs/>
          <w:kern w:val="28"/>
          <w:sz w:val="30"/>
          <w:szCs w:val="30"/>
        </w:rPr>
      </w:pPr>
      <w:r>
        <w:rPr>
          <w:rFonts w:hint="eastAsia" w:ascii="方正仿宋_GB2312" w:hAnsi="方正仿宋_GB2312" w:eastAsia="方正仿宋_GB2312" w:cs="方正仿宋_GB2312"/>
          <w:b/>
          <w:bCs/>
          <w:kern w:val="28"/>
          <w:sz w:val="30"/>
          <w:szCs w:val="30"/>
        </w:rPr>
        <w:t>第八条  其他约定</w:t>
      </w:r>
    </w:p>
    <w:p w14:paraId="544BBA9B">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8.1设计人在设计、施工阶段须按发包人工作要求，派项目负责人或熟悉了解项目具体情况的设计人员前往项目现场进行配合与解决有关问题。</w:t>
      </w:r>
    </w:p>
    <w:p w14:paraId="7842BAC0">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8.2设计人为本合同项目所采用的国家或地方标准图，由设计人自行收集或自费向有关出版机构购买。</w:t>
      </w:r>
    </w:p>
    <w:p w14:paraId="33034DEA">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8.3本工程设计资料及文件中，建筑材料、建筑构配件和设备，应当注明其规格、型号、性能等技术指标，设计人不得指定生产厂、供应商。</w:t>
      </w:r>
    </w:p>
    <w:p w14:paraId="20D0CEB8">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8.4发包人委托设计人承担本合同内容之外的工作服务，需另行签订协议后再行支付。</w:t>
      </w:r>
    </w:p>
    <w:p w14:paraId="059731FA">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8.5若合同签订后因不可抗力等客观原因导致项目设计工作未启动，发包人不支付设计人任何补偿费用。</w:t>
      </w:r>
    </w:p>
    <w:p w14:paraId="14650217">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8.6本合同签订生效后有效期为两年，两年后发包人仍未要求启动设计工作的，此合同自动解除，相关费用不再计取。</w:t>
      </w:r>
    </w:p>
    <w:p w14:paraId="020DDDAA">
      <w:pPr>
        <w:spacing w:line="360" w:lineRule="auto"/>
        <w:ind w:firstLine="600" w:firstLineChars="200"/>
        <w:rPr>
          <w:rFonts w:hint="eastAsia" w:ascii="方正仿宋_GB2312" w:hAnsi="方正仿宋_GB2312" w:eastAsia="方正仿宋_GB2312" w:cs="方正仿宋_GB2312"/>
          <w:kern w:val="28"/>
          <w:sz w:val="30"/>
          <w:szCs w:val="30"/>
        </w:rPr>
      </w:pPr>
      <w:r>
        <w:rPr>
          <w:rFonts w:hint="eastAsia" w:ascii="方正仿宋_GB2312" w:hAnsi="方正仿宋_GB2312" w:eastAsia="方正仿宋_GB2312" w:cs="方正仿宋_GB2312"/>
          <w:kern w:val="28"/>
          <w:sz w:val="30"/>
          <w:szCs w:val="30"/>
        </w:rPr>
        <w:t>8.7由于不可抗力因素致使合同无法履行时，双方及时协商解决。</w:t>
      </w:r>
    </w:p>
    <w:p w14:paraId="68FD63CD">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8.8本合同发生争议，双方当事人应及时协商解决。也可由当地建设行政</w:t>
      </w:r>
      <w:r>
        <w:rPr>
          <w:rFonts w:hint="eastAsia" w:ascii="方正仿宋_GB2312" w:hAnsi="方正仿宋_GB2312" w:eastAsia="方正仿宋_GB2312" w:cs="方正仿宋_GB2312"/>
          <w:sz w:val="30"/>
          <w:szCs w:val="30"/>
        </w:rPr>
        <w:t>主管部门调解，协商、调解不成时，双方当事人可以按下列第</w:t>
      </w:r>
      <w:r>
        <w:rPr>
          <w:rFonts w:hint="eastAsia" w:ascii="方正仿宋_GB2312" w:hAnsi="方正仿宋_GB2312" w:eastAsia="方正仿宋_GB2312" w:cs="方正仿宋_GB2312"/>
          <w:sz w:val="30"/>
          <w:szCs w:val="30"/>
          <w:u w:val="single"/>
        </w:rPr>
        <w:t>（2）</w:t>
      </w:r>
      <w:r>
        <w:rPr>
          <w:rFonts w:hint="eastAsia" w:ascii="方正仿宋_GB2312" w:hAnsi="方正仿宋_GB2312" w:eastAsia="方正仿宋_GB2312" w:cs="方正仿宋_GB2312"/>
          <w:sz w:val="30"/>
          <w:szCs w:val="30"/>
        </w:rPr>
        <w:t>种方式解决：</w:t>
      </w:r>
    </w:p>
    <w:p w14:paraId="5BEA8D49">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（1）提交项目地仲裁委员会仲裁；</w:t>
      </w:r>
    </w:p>
    <w:p w14:paraId="503B03E2">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（2）依法向项目所在地有管辖权的人民法院起诉。</w:t>
      </w:r>
    </w:p>
    <w:p w14:paraId="0310D131">
      <w:pPr>
        <w:spacing w:line="360" w:lineRule="auto"/>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8.9本合同壹式</w:t>
      </w:r>
      <w:r>
        <w:rPr>
          <w:rFonts w:hint="eastAsia" w:ascii="方正仿宋_GB2312" w:hAnsi="方正仿宋_GB2312" w:eastAsia="方正仿宋_GB2312" w:cs="方正仿宋_GB2312"/>
          <w:b/>
          <w:sz w:val="30"/>
          <w:szCs w:val="30"/>
          <w:u w:val="single"/>
        </w:rPr>
        <w:t>捌</w:t>
      </w:r>
      <w:r>
        <w:rPr>
          <w:rFonts w:hint="eastAsia" w:ascii="方正仿宋_GB2312" w:hAnsi="方正仿宋_GB2312" w:eastAsia="方正仿宋_GB2312" w:cs="方正仿宋_GB2312"/>
          <w:kern w:val="28"/>
          <w:sz w:val="30"/>
          <w:szCs w:val="30"/>
        </w:rPr>
        <w:t>份，发包人</w:t>
      </w:r>
      <w:r>
        <w:rPr>
          <w:rFonts w:hint="eastAsia" w:ascii="方正仿宋_GB2312" w:hAnsi="方正仿宋_GB2312" w:eastAsia="方正仿宋_GB2312" w:cs="方正仿宋_GB2312"/>
          <w:kern w:val="28"/>
          <w:sz w:val="30"/>
          <w:szCs w:val="30"/>
          <w:u w:val="single"/>
        </w:rPr>
        <w:t>肆</w:t>
      </w:r>
      <w:r>
        <w:rPr>
          <w:rFonts w:hint="eastAsia" w:ascii="方正仿宋_GB2312" w:hAnsi="方正仿宋_GB2312" w:eastAsia="方正仿宋_GB2312" w:cs="方正仿宋_GB2312"/>
          <w:kern w:val="28"/>
          <w:sz w:val="30"/>
          <w:szCs w:val="30"/>
        </w:rPr>
        <w:t>份，设计人</w:t>
      </w:r>
      <w:r>
        <w:rPr>
          <w:rFonts w:hint="eastAsia" w:ascii="方正仿宋_GB2312" w:hAnsi="方正仿宋_GB2312" w:eastAsia="方正仿宋_GB2312" w:cs="方正仿宋_GB2312"/>
          <w:b/>
          <w:sz w:val="30"/>
          <w:szCs w:val="30"/>
          <w:u w:val="single"/>
        </w:rPr>
        <w:t>肆</w:t>
      </w:r>
      <w:r>
        <w:rPr>
          <w:rFonts w:hint="eastAsia" w:ascii="方正仿宋_GB2312" w:hAnsi="方正仿宋_GB2312" w:eastAsia="方正仿宋_GB2312" w:cs="方正仿宋_GB2312"/>
          <w:kern w:val="28"/>
          <w:sz w:val="30"/>
          <w:szCs w:val="30"/>
        </w:rPr>
        <w:t>份。均具有同等法律效力。</w:t>
      </w:r>
      <w:r>
        <w:rPr>
          <w:rFonts w:hint="eastAsia" w:ascii="方正仿宋_GB2312" w:hAnsi="方正仿宋_GB2312" w:eastAsia="方正仿宋_GB2312" w:cs="方正仿宋_GB2312"/>
          <w:sz w:val="30"/>
          <w:szCs w:val="30"/>
        </w:rPr>
        <w:t>本合同未尽事宜，双方可签订补充协议，有关协议与本协议具有同等法律效力。</w:t>
      </w:r>
    </w:p>
    <w:p w14:paraId="37360158">
      <w:pPr>
        <w:spacing w:line="360" w:lineRule="auto"/>
        <w:ind w:right="-263" w:rightChars="-125"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8</w:t>
      </w:r>
      <w:r>
        <w:rPr>
          <w:rFonts w:hint="eastAsia" w:ascii="方正仿宋_GB2312" w:hAnsi="方正仿宋_GB2312" w:eastAsia="方正仿宋_GB2312" w:cs="方正仿宋_GB2312"/>
          <w:sz w:val="30"/>
          <w:szCs w:val="30"/>
        </w:rPr>
        <w:t>.10本合同经双方法定代表人签字并加盖单位公章后即生效。</w:t>
      </w:r>
    </w:p>
    <w:p w14:paraId="2DDE5DD2">
      <w:pPr>
        <w:spacing w:line="360" w:lineRule="auto"/>
        <w:ind w:right="-263" w:rightChars="-125"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kern w:val="28"/>
          <w:sz w:val="30"/>
          <w:szCs w:val="30"/>
        </w:rPr>
        <w:t>8</w:t>
      </w:r>
      <w:r>
        <w:rPr>
          <w:rFonts w:hint="eastAsia" w:ascii="方正仿宋_GB2312" w:hAnsi="方正仿宋_GB2312" w:eastAsia="方正仿宋_GB2312" w:cs="方正仿宋_GB2312"/>
          <w:sz w:val="30"/>
          <w:szCs w:val="30"/>
        </w:rPr>
        <w:t>.11双方认可的来往电报、传真、会议纪要等，均为本合同组成部分，仅作为本合同履行发生争议时释明之用。</w:t>
      </w:r>
    </w:p>
    <w:p w14:paraId="46C20B65">
      <w:pPr>
        <w:spacing w:line="360" w:lineRule="auto"/>
        <w:ind w:right="-263" w:rightChars="-125"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8.12双方确认，本合同所载明各方地址为合同相对方、法院、仲裁机构向其送达通知、文件材料及法律文书等的有效地址，若该地址有变更，变更方应在变更后3日书面通知相对方，否则相对方和法院、仲裁机构按原地址邮寄通知、文件材料及法律文书等，在寄出第3日视为送达。</w:t>
      </w:r>
    </w:p>
    <w:p w14:paraId="03922E46">
      <w:pPr>
        <w:spacing w:line="360" w:lineRule="auto"/>
        <w:ind w:right="-263" w:rightChars="-125"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 xml:space="preserve"> (以下无正文）</w:t>
      </w:r>
    </w:p>
    <w:p w14:paraId="115F3D95">
      <w:pPr>
        <w:snapToGrid w:val="0"/>
        <w:spacing w:line="580" w:lineRule="exact"/>
        <w:rPr>
          <w:rFonts w:hint="eastAsia" w:ascii="方正仿宋_GB2312" w:hAnsi="方正仿宋_GB2312" w:eastAsia="方正仿宋_GB2312" w:cs="方正仿宋_GB2312"/>
          <w:b/>
          <w:sz w:val="30"/>
          <w:szCs w:val="30"/>
        </w:rPr>
      </w:pPr>
    </w:p>
    <w:p w14:paraId="54099980">
      <w:pPr>
        <w:snapToGrid w:val="0"/>
        <w:spacing w:line="580" w:lineRule="exact"/>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 xml:space="preserve">项目业主：重庆九龙现代产业发展集团有限公司                  </w:t>
      </w:r>
    </w:p>
    <w:p w14:paraId="505684D7">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法定代表人：                      </w:t>
      </w:r>
    </w:p>
    <w:p w14:paraId="53D4236F">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经办人：</w:t>
      </w:r>
    </w:p>
    <w:p w14:paraId="79523967">
      <w:pPr>
        <w:snapToGrid w:val="0"/>
        <w:spacing w:before="124" w:beforeLines="40" w:after="124" w:afterLines="40" w:line="440" w:lineRule="exact"/>
        <w:rPr>
          <w:rFonts w:hint="eastAsia" w:ascii="方正仿宋_GB2312" w:hAnsi="方正仿宋_GB2312" w:eastAsia="方正仿宋_GB2312" w:cs="方正仿宋_GB2312"/>
          <w:b/>
          <w:sz w:val="30"/>
          <w:szCs w:val="30"/>
        </w:rPr>
      </w:pPr>
    </w:p>
    <w:p w14:paraId="0CF96B26">
      <w:pPr>
        <w:snapToGrid w:val="0"/>
        <w:spacing w:before="124" w:beforeLines="40" w:after="124" w:afterLines="40" w:line="440" w:lineRule="exact"/>
        <w:rPr>
          <w:rFonts w:hint="eastAsia" w:ascii="方正仿宋_GB2312" w:hAnsi="方正仿宋_GB2312" w:eastAsia="方正仿宋_GB2312" w:cs="方正仿宋_GB2312"/>
          <w:b/>
          <w:sz w:val="30"/>
          <w:szCs w:val="30"/>
        </w:rPr>
      </w:pPr>
    </w:p>
    <w:p w14:paraId="7FE0DA7F">
      <w:pPr>
        <w:snapToGrid w:val="0"/>
        <w:spacing w:line="580" w:lineRule="exact"/>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 xml:space="preserve">设计人：   </w:t>
      </w:r>
    </w:p>
    <w:p w14:paraId="034221C9">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法定代表人：</w:t>
      </w:r>
    </w:p>
    <w:p w14:paraId="332F2CB5">
      <w:pPr>
        <w:snapToGrid w:val="0"/>
        <w:spacing w:before="124" w:beforeLines="40" w:after="124" w:afterLines="40" w:line="440" w:lineRule="exact"/>
        <w:ind w:firstLine="300" w:firstLineChars="1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或委托授权人：</w:t>
      </w:r>
    </w:p>
    <w:p w14:paraId="0A146752">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地址：</w:t>
      </w:r>
    </w:p>
    <w:p w14:paraId="5C566C1C">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开户行：</w:t>
      </w:r>
    </w:p>
    <w:p w14:paraId="3E146700">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开户号：</w:t>
      </w:r>
    </w:p>
    <w:p w14:paraId="4A00C66C">
      <w:pPr>
        <w:snapToGrid w:val="0"/>
        <w:spacing w:before="124" w:beforeLines="40" w:after="124" w:afterLines="40" w:line="440" w:lineRule="exac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 xml:space="preserve">                                                                              </w:t>
      </w:r>
    </w:p>
    <w:p w14:paraId="5B582A3D">
      <w:pPr>
        <w:snapToGrid w:val="0"/>
        <w:spacing w:before="124" w:beforeLines="40" w:after="124" w:afterLines="40" w:line="440" w:lineRule="exact"/>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签订日期：2025年  月  日</w:t>
      </w:r>
    </w:p>
    <w:p w14:paraId="35066FBB">
      <w:pPr>
        <w:widowControl/>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br w:type="page"/>
      </w:r>
    </w:p>
    <w:p w14:paraId="3BBBA5ED">
      <w:pPr>
        <w:snapToGrid w:val="0"/>
        <w:spacing w:before="124" w:beforeLines="40" w:after="124" w:afterLines="40" w:line="440" w:lineRule="exact"/>
        <w:jc w:val="left"/>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附件</w:t>
      </w:r>
    </w:p>
    <w:p w14:paraId="1A654A3B">
      <w:pPr>
        <w:jc w:val="center"/>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设计需求方案</w:t>
      </w:r>
    </w:p>
    <w:p w14:paraId="3ADD67BD">
      <w:pPr>
        <w:ind w:firstLine="600" w:firstLineChars="200"/>
        <w:rPr>
          <w:rFonts w:hint="eastAsia" w:ascii="方正仿宋_GB2312" w:hAnsi="方正仿宋_GB2312" w:eastAsia="方正仿宋_GB2312" w:cs="方正仿宋_GB2312"/>
          <w:sz w:val="30"/>
          <w:szCs w:val="30"/>
        </w:rPr>
      </w:pPr>
    </w:p>
    <w:p w14:paraId="5AE1A13D">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一、项目背景</w:t>
      </w:r>
    </w:p>
    <w:p w14:paraId="1CF38A5D">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本项目是落实全区“东西一体化、全域现代化”1167总体发展思路和2025年区政府工作报告提出的建设“三甲医院枢纽港分院”的要求，通过改造装修西彭电子产业园闲置工业厂房及厂房旁的食堂，结合使用单位实际需求，打造一座现代化的三级甲等医院分院。</w:t>
      </w:r>
    </w:p>
    <w:p w14:paraId="460FC629">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二、用地规模及主要建设内容</w:t>
      </w:r>
    </w:p>
    <w:p w14:paraId="6631EB75">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（一）主体厂房的改造</w:t>
      </w:r>
    </w:p>
    <w:p w14:paraId="2422DC2B">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将主体厂房的东侧1-5层装修改造后作为医疗使用（西侧预留），设置床位230张，主体厂房东侧开口两个采光井用于采光通风，负1层用于停车。改造供医院使用建筑面积约3.1万平方米（含负1层车库及食堂部分）。</w:t>
      </w:r>
    </w:p>
    <w:p w14:paraId="68653057">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 xml:space="preserve">（二）配套条件 </w:t>
      </w:r>
    </w:p>
    <w:p w14:paraId="0CFC67D4">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周边市政道路及管网、停车港等市政配套与医院迁建项目同步规划建设。</w:t>
      </w:r>
    </w:p>
    <w:p w14:paraId="4A27EAE9">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三、设计目标</w:t>
      </w:r>
    </w:p>
    <w:p w14:paraId="786BBDA4">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（一）功能分区明确：</w:t>
      </w:r>
      <w:r>
        <w:rPr>
          <w:rFonts w:hint="eastAsia" w:ascii="方正仿宋_GB2312" w:hAnsi="方正仿宋_GB2312" w:eastAsia="方正仿宋_GB2312" w:cs="方正仿宋_GB2312"/>
          <w:sz w:val="30"/>
          <w:szCs w:val="30"/>
        </w:rPr>
        <w:t>合理划分门诊、住院、医技、行政、后勤等功能区域，确保医疗流程顺畅。</w:t>
      </w:r>
    </w:p>
    <w:p w14:paraId="585723FA">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（二）体现中西医结合特色：</w:t>
      </w:r>
      <w:r>
        <w:rPr>
          <w:rFonts w:hint="eastAsia" w:ascii="方正仿宋_GB2312" w:hAnsi="方正仿宋_GB2312" w:eastAsia="方正仿宋_GB2312" w:cs="方正仿宋_GB2312"/>
          <w:sz w:val="30"/>
          <w:szCs w:val="30"/>
        </w:rPr>
        <w:t>突出中西医结合特点，设置中医诊疗区、中药房、煎药室、针灸推拿等特色科室。</w:t>
      </w:r>
    </w:p>
    <w:p w14:paraId="220C2123">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（三）人性化设计：</w:t>
      </w:r>
      <w:r>
        <w:rPr>
          <w:rFonts w:hint="eastAsia" w:ascii="方正仿宋_GB2312" w:hAnsi="方正仿宋_GB2312" w:eastAsia="方正仿宋_GB2312" w:cs="方正仿宋_GB2312"/>
          <w:sz w:val="30"/>
          <w:szCs w:val="30"/>
        </w:rPr>
        <w:t>充分考虑患者、医护人员及家属的需求，提供舒适、便捷的就医环境。</w:t>
      </w:r>
    </w:p>
    <w:p w14:paraId="46600418">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（四）节能环保：</w:t>
      </w:r>
      <w:r>
        <w:rPr>
          <w:rFonts w:hint="eastAsia" w:ascii="方正仿宋_GB2312" w:hAnsi="方正仿宋_GB2312" w:eastAsia="方正仿宋_GB2312" w:cs="方正仿宋_GB2312"/>
          <w:sz w:val="30"/>
          <w:szCs w:val="30"/>
        </w:rPr>
        <w:t>采用绿色建筑理念、减少能源消耗、提升建筑的可持续性。充分利用东西朝向的优势，增加自然采光，减少照明能耗。楼顶可用于绿化或安装太阳能板。</w:t>
      </w:r>
    </w:p>
    <w:p w14:paraId="6C89F863">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（五）交通流线优化：</w:t>
      </w:r>
      <w:r>
        <w:rPr>
          <w:rFonts w:hint="eastAsia" w:ascii="方正仿宋_GB2312" w:hAnsi="方正仿宋_GB2312" w:eastAsia="方正仿宋_GB2312" w:cs="方正仿宋_GB2312"/>
          <w:sz w:val="30"/>
          <w:szCs w:val="30"/>
        </w:rPr>
        <w:t>合理规划人流、物流、车流，确保院内交通顺畅，避免交叉感染。</w:t>
      </w:r>
    </w:p>
    <w:p w14:paraId="040AEED8">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（六）适度考虑后期发展空间：</w:t>
      </w:r>
      <w:r>
        <w:rPr>
          <w:rFonts w:hint="eastAsia" w:ascii="方正仿宋_GB2312" w:hAnsi="方正仿宋_GB2312" w:eastAsia="方正仿宋_GB2312" w:cs="方正仿宋_GB2312"/>
          <w:sz w:val="30"/>
          <w:szCs w:val="30"/>
        </w:rPr>
        <w:t>主厂房西侧栋楼的使用功能，要为医院未来发展留足空间（如病房扩展、感染性疾病区、教学科研、学术、医养结合及中医药文化展示等）。</w:t>
      </w:r>
    </w:p>
    <w:p w14:paraId="32799821">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四、布局设计建议</w:t>
      </w:r>
    </w:p>
    <w:p w14:paraId="7DCE04A6">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（一）主楼</w:t>
      </w:r>
    </w:p>
    <w:p w14:paraId="63954C43">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1．一层：门急诊区</w:t>
      </w:r>
    </w:p>
    <w:p w14:paraId="719B9F32">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门诊大厅：</w:t>
      </w:r>
      <w:r>
        <w:rPr>
          <w:rFonts w:hint="eastAsia" w:ascii="方正仿宋_GB2312" w:hAnsi="方正仿宋_GB2312" w:eastAsia="方正仿宋_GB2312" w:cs="方正仿宋_GB2312"/>
          <w:sz w:val="30"/>
          <w:szCs w:val="30"/>
        </w:rPr>
        <w:t>主楼东侧设置医院大门，门诊大厅位于大门正对入口处，设置导医服务台、挂号、收费、取药窗口、医保病案窗口或设备。</w:t>
      </w:r>
    </w:p>
    <w:p w14:paraId="7A3740D7">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急诊科：</w:t>
      </w:r>
      <w:r>
        <w:rPr>
          <w:rFonts w:hint="eastAsia" w:ascii="方正仿宋_GB2312" w:hAnsi="方正仿宋_GB2312" w:eastAsia="方正仿宋_GB2312" w:cs="方正仿宋_GB2312"/>
          <w:sz w:val="30"/>
          <w:szCs w:val="30"/>
        </w:rPr>
        <w:t>靠近东北侧，设置独立通道，确保急救车快速通行。设胸痛、卒中、创伤三大中心，急救大厅、分诊台，护士站，急诊挂号收费，抢救室（2个），诊室（5个），急诊手术室、清创室，急诊药房，犬伤处置区，配液室，注射室，男女更衣室，男女医护及120驾驶员值班室，消毒间，卫生间，洗漱间等。</w:t>
      </w:r>
    </w:p>
    <w:p w14:paraId="34BF65BA">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药房：</w:t>
      </w:r>
      <w:r>
        <w:rPr>
          <w:rFonts w:hint="eastAsia" w:ascii="方正仿宋_GB2312" w:hAnsi="方正仿宋_GB2312" w:eastAsia="方正仿宋_GB2312" w:cs="方正仿宋_GB2312"/>
          <w:sz w:val="30"/>
          <w:szCs w:val="30"/>
        </w:rPr>
        <w:t>分西药房和中药房，靠近门诊大厅，方便患者取药。另设西药库房（含毒、麻、精及特殊药物专柜，单独隔离）、中药库房和煎药室，男女值班室。</w:t>
      </w:r>
    </w:p>
    <w:p w14:paraId="2DAE6085">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输液大厅：</w:t>
      </w:r>
      <w:r>
        <w:rPr>
          <w:rFonts w:hint="eastAsia" w:ascii="方正仿宋_GB2312" w:hAnsi="方正仿宋_GB2312" w:eastAsia="方正仿宋_GB2312" w:cs="方正仿宋_GB2312"/>
          <w:sz w:val="30"/>
          <w:szCs w:val="30"/>
        </w:rPr>
        <w:t>紧邻急诊科。设置留观病房5个、输液座位30个。</w:t>
      </w:r>
    </w:p>
    <w:p w14:paraId="15B9A0E4">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放射科：</w:t>
      </w:r>
      <w:r>
        <w:rPr>
          <w:rFonts w:hint="eastAsia" w:ascii="方正仿宋_GB2312" w:hAnsi="方正仿宋_GB2312" w:eastAsia="方正仿宋_GB2312" w:cs="方正仿宋_GB2312"/>
          <w:sz w:val="30"/>
          <w:szCs w:val="30"/>
        </w:rPr>
        <w:t>设置X光、DR（包括胸片、多功能、乳腺、胃肠），CT、MRI，均为双机位。办公室兼会议室，男、女值班室。</w:t>
      </w:r>
    </w:p>
    <w:p w14:paraId="0D5E04C0">
      <w:pPr>
        <w:ind w:firstLine="602" w:firstLineChars="200"/>
        <w:rPr>
          <w:rFonts w:hint="eastAsia" w:ascii="方正仿宋_GB2312" w:hAnsi="方正仿宋_GB2312" w:eastAsia="方正仿宋_GB2312" w:cs="方正仿宋_GB2312"/>
          <w:b/>
          <w:bCs/>
          <w:sz w:val="30"/>
          <w:szCs w:val="30"/>
        </w:rPr>
      </w:pPr>
      <w:r>
        <w:rPr>
          <w:rFonts w:hint="eastAsia" w:ascii="方正仿宋_GB2312" w:hAnsi="方正仿宋_GB2312" w:eastAsia="方正仿宋_GB2312" w:cs="方正仿宋_GB2312"/>
          <w:b/>
          <w:bCs/>
          <w:sz w:val="30"/>
          <w:szCs w:val="30"/>
        </w:rPr>
        <w:t>介入室1间。</w:t>
      </w:r>
    </w:p>
    <w:p w14:paraId="6AE8FCE2">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特检科</w:t>
      </w:r>
      <w:r>
        <w:rPr>
          <w:rFonts w:hint="eastAsia" w:ascii="方正仿宋_GB2312" w:hAnsi="方正仿宋_GB2312" w:eastAsia="方正仿宋_GB2312" w:cs="方正仿宋_GB2312"/>
          <w:b/>
          <w:sz w:val="30"/>
          <w:szCs w:val="30"/>
        </w:rPr>
        <w:t>：</w:t>
      </w:r>
      <w:r>
        <w:rPr>
          <w:rFonts w:hint="eastAsia" w:ascii="方正仿宋_GB2312" w:hAnsi="方正仿宋_GB2312" w:eastAsia="方正仿宋_GB2312" w:cs="方正仿宋_GB2312"/>
          <w:sz w:val="30"/>
          <w:szCs w:val="30"/>
        </w:rPr>
        <w:t>超声室5（含经颅多普勒1）、心电图室、脑电图室、值班室。</w:t>
      </w:r>
    </w:p>
    <w:p w14:paraId="073A60B8">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健康体检中心：</w:t>
      </w:r>
      <w:r>
        <w:rPr>
          <w:rFonts w:hint="eastAsia" w:ascii="方正仿宋_GB2312" w:hAnsi="方正仿宋_GB2312" w:eastAsia="方正仿宋_GB2312" w:cs="方正仿宋_GB2312"/>
          <w:sz w:val="30"/>
          <w:szCs w:val="30"/>
        </w:rPr>
        <w:t>参照《健康体检中心基本标准（试行）》，设相对独立体检及候检场所，总面积约400平方米，各检查科室应独立，净使用面积不得小于6平方米。医疗用房面积不足可与门诊科室功能兼用。至少设候检与咨询区、体检区、管理区（体检资料、信息化等）</w:t>
      </w:r>
    </w:p>
    <w:p w14:paraId="659D14A2">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便民超市：</w:t>
      </w:r>
      <w:r>
        <w:rPr>
          <w:rFonts w:hint="eastAsia" w:ascii="方正仿宋_GB2312" w:hAnsi="方正仿宋_GB2312" w:eastAsia="方正仿宋_GB2312" w:cs="方正仿宋_GB2312"/>
          <w:sz w:val="30"/>
          <w:szCs w:val="30"/>
        </w:rPr>
        <w:t>设置在患者方便的通道旁。</w:t>
      </w:r>
    </w:p>
    <w:p w14:paraId="562D87FB">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2.二层：门诊区</w:t>
      </w:r>
    </w:p>
    <w:p w14:paraId="2BC68F10">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（1）设5个以上标准门诊单元：每个单元约500平方米，含候诊区100平米左右。</w:t>
      </w:r>
    </w:p>
    <w:p w14:paraId="7B6B1B58">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内科单元：呼吸、消化、心内、神内、内分泌等；</w:t>
      </w:r>
    </w:p>
    <w:p w14:paraId="57050A8F">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外科单元：普外、泌尿、骨伤肛肠科等；</w:t>
      </w:r>
    </w:p>
    <w:p w14:paraId="7772F912">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专科单元：眼耳鼻喉科、口腔科、皮肤科、治未病科、针灸康复科等；</w:t>
      </w:r>
    </w:p>
    <w:p w14:paraId="10CA21AD">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妇产科及儿科单元：建议单独成区，妇产科至少设置门诊人流室、胎监室、利谱刀及宫腔镜等室。</w:t>
      </w:r>
    </w:p>
    <w:p w14:paraId="357AA052">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上述各单元参照国家规范和使用需求设置相应诊室及处置室若干间，口腔科配备牙片室、加工处置室等。</w:t>
      </w:r>
    </w:p>
    <w:p w14:paraId="3C6545A7">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（3）血液透析室：</w:t>
      </w:r>
      <w:r>
        <w:rPr>
          <w:rFonts w:hint="eastAsia" w:ascii="方正仿宋_GB2312" w:hAnsi="方正仿宋_GB2312" w:eastAsia="方正仿宋_GB2312" w:cs="方正仿宋_GB2312"/>
          <w:sz w:val="30"/>
          <w:szCs w:val="30"/>
        </w:rPr>
        <w:t>建议设20个普通透析单元，感染单元5个。</w:t>
      </w:r>
    </w:p>
    <w:p w14:paraId="142DE5AC">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（4）门诊手术区：</w:t>
      </w:r>
      <w:r>
        <w:rPr>
          <w:rFonts w:hint="eastAsia" w:ascii="方正仿宋_GB2312" w:hAnsi="方正仿宋_GB2312" w:eastAsia="方正仿宋_GB2312" w:cs="方正仿宋_GB2312"/>
          <w:sz w:val="30"/>
          <w:szCs w:val="30"/>
        </w:rPr>
        <w:t>手术间2个，沟通谈话间1-2个，等候区。尽量靠近外科诊室。</w:t>
      </w:r>
    </w:p>
    <w:p w14:paraId="3FD0AE55">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（5）内镜中心：</w:t>
      </w:r>
      <w:r>
        <w:rPr>
          <w:rFonts w:hint="eastAsia" w:ascii="方正仿宋_GB2312" w:hAnsi="方正仿宋_GB2312" w:eastAsia="方正仿宋_GB2312" w:cs="方正仿宋_GB2312"/>
          <w:sz w:val="30"/>
          <w:szCs w:val="30"/>
        </w:rPr>
        <w:t>胃镜室1、肠镜室1、纤支镜室、清洗及设备间各1。</w:t>
      </w:r>
    </w:p>
    <w:p w14:paraId="43BCCB38">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（6）检验科：</w:t>
      </w:r>
      <w:r>
        <w:rPr>
          <w:rFonts w:hint="eastAsia" w:ascii="方正仿宋_GB2312" w:hAnsi="方正仿宋_GB2312" w:eastAsia="方正仿宋_GB2312" w:cs="方正仿宋_GB2312"/>
          <w:sz w:val="30"/>
          <w:szCs w:val="30"/>
        </w:rPr>
        <w:t>对应急诊科位置，便于气动物流传输。面积800平米以上（三级医院需1200平米以上）。设血液学、体液学、临床化学、免疫学、微生物学及分子生物学实验室（若原医院PCR实验室留用，可以暂不建）及血库（输血科），要相对集中设计。</w:t>
      </w:r>
    </w:p>
    <w:p w14:paraId="3CCD031A">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（7）其他辅助科室：</w:t>
      </w:r>
      <w:r>
        <w:rPr>
          <w:rFonts w:hint="eastAsia" w:ascii="方正仿宋_GB2312" w:hAnsi="方正仿宋_GB2312" w:eastAsia="方正仿宋_GB2312" w:cs="方正仿宋_GB2312"/>
          <w:sz w:val="30"/>
          <w:szCs w:val="30"/>
        </w:rPr>
        <w:t>营养科、病理科。</w:t>
      </w:r>
    </w:p>
    <w:p w14:paraId="1FFCDB88">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3.三层：住院病区</w:t>
      </w:r>
    </w:p>
    <w:p w14:paraId="427EB724">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标准化病区设置：按照</w:t>
      </w:r>
      <w:bookmarkStart w:id="5" w:name="OLE_LINK3"/>
      <w:bookmarkStart w:id="6" w:name="OLE_LINK2"/>
      <w:r>
        <w:rPr>
          <w:rFonts w:hint="eastAsia" w:ascii="方正仿宋_GB2312" w:hAnsi="方正仿宋_GB2312" w:eastAsia="方正仿宋_GB2312" w:cs="方正仿宋_GB2312"/>
          <w:sz w:val="30"/>
          <w:szCs w:val="30"/>
        </w:rPr>
        <w:t>一般病区40张床位左右设置</w:t>
      </w:r>
      <w:bookmarkEnd w:id="5"/>
      <w:bookmarkEnd w:id="6"/>
      <w:r>
        <w:rPr>
          <w:rFonts w:hint="eastAsia" w:ascii="方正仿宋_GB2312" w:hAnsi="方正仿宋_GB2312" w:eastAsia="方正仿宋_GB2312" w:cs="方正仿宋_GB2312"/>
          <w:sz w:val="30"/>
          <w:szCs w:val="30"/>
        </w:rPr>
        <w:t>。含中医综合治疗室、护士站、治疗室、二级库房、医生办公室、学习示教室、医生护士值班室及厕所、盥洗室及休闲间（非必须）等。</w:t>
      </w:r>
    </w:p>
    <w:p w14:paraId="1244A58A">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（1）外科一病区：</w:t>
      </w:r>
      <w:r>
        <w:rPr>
          <w:rFonts w:hint="eastAsia" w:ascii="方正仿宋_GB2312" w:hAnsi="方正仿宋_GB2312" w:eastAsia="方正仿宋_GB2312" w:cs="方正仿宋_GB2312"/>
          <w:sz w:val="30"/>
          <w:szCs w:val="30"/>
        </w:rPr>
        <w:t>普外、泌尿、肛肠。</w:t>
      </w:r>
    </w:p>
    <w:p w14:paraId="6E8F6138">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（2）外科二病区：</w:t>
      </w:r>
      <w:r>
        <w:rPr>
          <w:rFonts w:hint="eastAsia" w:ascii="方正仿宋_GB2312" w:hAnsi="方正仿宋_GB2312" w:eastAsia="方正仿宋_GB2312" w:cs="方正仿宋_GB2312"/>
          <w:sz w:val="30"/>
          <w:szCs w:val="30"/>
        </w:rPr>
        <w:t>骨科、脑外、胸外。</w:t>
      </w:r>
    </w:p>
    <w:p w14:paraId="0D918321">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（3）手术麻醉科：</w:t>
      </w:r>
      <w:r>
        <w:rPr>
          <w:rFonts w:hint="eastAsia" w:ascii="方正仿宋_GB2312" w:hAnsi="方正仿宋_GB2312" w:eastAsia="方正仿宋_GB2312" w:cs="方正仿宋_GB2312"/>
          <w:sz w:val="30"/>
          <w:szCs w:val="30"/>
        </w:rPr>
        <w:t>建议设5间。百级（Ⅰ类）2个,千级（Ⅱ类）2个、万级（Ⅲ类）1个。另需设麻醉准备室、麻醉诱导室、复苏室、中控室、耗材贮存空间、设备储藏空间和麻醉药房、办公室、男女值班室等。</w:t>
      </w:r>
    </w:p>
    <w:p w14:paraId="22603E1D">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（4）中心重症监护室：</w:t>
      </w:r>
      <w:r>
        <w:rPr>
          <w:rFonts w:hint="eastAsia" w:ascii="方正仿宋_GB2312" w:hAnsi="方正仿宋_GB2312" w:eastAsia="方正仿宋_GB2312" w:cs="方正仿宋_GB2312"/>
          <w:sz w:val="30"/>
          <w:szCs w:val="30"/>
        </w:rPr>
        <w:t>10个病床（含1间隔离病）。</w:t>
      </w:r>
    </w:p>
    <w:p w14:paraId="613BB00E">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4.四层：住院病区</w:t>
      </w:r>
      <w:r>
        <w:rPr>
          <w:rFonts w:hint="eastAsia" w:ascii="方正仿宋_GB2312" w:hAnsi="方正仿宋_GB2312" w:eastAsia="方正仿宋_GB2312" w:cs="方正仿宋_GB2312"/>
          <w:b/>
          <w:sz w:val="30"/>
          <w:szCs w:val="30"/>
        </w:rPr>
        <w:tab/>
      </w:r>
    </w:p>
    <w:p w14:paraId="49DDFAE7">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内科按照40张床位左右设置。妇产科、眼耳鼻喉等专科设置20张左右床位。</w:t>
      </w:r>
    </w:p>
    <w:p w14:paraId="63EF4662">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（1）内科一病区：</w:t>
      </w:r>
      <w:r>
        <w:rPr>
          <w:rFonts w:hint="eastAsia" w:ascii="方正仿宋_GB2312" w:hAnsi="方正仿宋_GB2312" w:eastAsia="方正仿宋_GB2312" w:cs="方正仿宋_GB2312"/>
          <w:sz w:val="30"/>
          <w:szCs w:val="30"/>
        </w:rPr>
        <w:t>神内、心内、内分泌。</w:t>
      </w:r>
    </w:p>
    <w:p w14:paraId="6D6C0EF7">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（2）内科二病区：</w:t>
      </w:r>
      <w:r>
        <w:rPr>
          <w:rFonts w:hint="eastAsia" w:ascii="方正仿宋_GB2312" w:hAnsi="方正仿宋_GB2312" w:eastAsia="方正仿宋_GB2312" w:cs="方正仿宋_GB2312"/>
          <w:sz w:val="30"/>
          <w:szCs w:val="30"/>
        </w:rPr>
        <w:t>呼吸、消化、儿科。</w:t>
      </w:r>
    </w:p>
    <w:p w14:paraId="6587131D">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（3）妇产科病区：</w:t>
      </w:r>
      <w:r>
        <w:rPr>
          <w:rFonts w:hint="eastAsia" w:ascii="方正仿宋_GB2312" w:hAnsi="方正仿宋_GB2312" w:eastAsia="方正仿宋_GB2312" w:cs="方正仿宋_GB2312"/>
          <w:sz w:val="30"/>
          <w:szCs w:val="30"/>
        </w:rPr>
        <w:t>妇科、产科。</w:t>
      </w:r>
    </w:p>
    <w:p w14:paraId="09F52345">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（4）眼耳鼻喉病区：</w:t>
      </w:r>
      <w:r>
        <w:rPr>
          <w:rFonts w:hint="eastAsia" w:ascii="方正仿宋_GB2312" w:hAnsi="方正仿宋_GB2312" w:eastAsia="方正仿宋_GB2312" w:cs="方正仿宋_GB2312"/>
          <w:sz w:val="30"/>
          <w:szCs w:val="30"/>
        </w:rPr>
        <w:t>眼科、耳鼻喉科。</w:t>
      </w:r>
    </w:p>
    <w:p w14:paraId="1C56B87A">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5.五层：住院病区</w:t>
      </w:r>
    </w:p>
    <w:p w14:paraId="45EFF2D1">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（1）针灸康复科病区：</w:t>
      </w:r>
      <w:r>
        <w:rPr>
          <w:rFonts w:hint="eastAsia" w:ascii="方正仿宋_GB2312" w:hAnsi="方正仿宋_GB2312" w:eastAsia="方正仿宋_GB2312" w:cs="方正仿宋_GB2312"/>
          <w:sz w:val="30"/>
          <w:szCs w:val="30"/>
        </w:rPr>
        <w:t>按照40张床位左右设置。另设康复大厅。</w:t>
      </w:r>
    </w:p>
    <w:p w14:paraId="2143153E">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（2）内三科病区/老年病科病区：</w:t>
      </w:r>
      <w:r>
        <w:rPr>
          <w:rFonts w:hint="eastAsia" w:ascii="方正仿宋_GB2312" w:hAnsi="方正仿宋_GB2312" w:eastAsia="方正仿宋_GB2312" w:cs="方正仿宋_GB2312"/>
          <w:sz w:val="30"/>
          <w:szCs w:val="30"/>
        </w:rPr>
        <w:t>20- 40张</w:t>
      </w:r>
    </w:p>
    <w:p w14:paraId="2592B2C8">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6.负一楼：</w:t>
      </w:r>
    </w:p>
    <w:p w14:paraId="07E17289">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（1）车库及其他辅助用房。</w:t>
      </w:r>
    </w:p>
    <w:p w14:paraId="6EF39702">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（2）配电室。</w:t>
      </w:r>
    </w:p>
    <w:p w14:paraId="11F50C22">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（3）总务库房及修理间。</w:t>
      </w:r>
    </w:p>
    <w:p w14:paraId="00DF371E">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信息中心机房（达到三级等保要求）、病案室库房。</w:t>
      </w:r>
    </w:p>
    <w:p w14:paraId="0E52274F">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（二）附楼（原食堂）</w:t>
      </w:r>
    </w:p>
    <w:p w14:paraId="00BAB807">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1.一层：</w:t>
      </w:r>
      <w:r>
        <w:rPr>
          <w:rFonts w:hint="eastAsia" w:ascii="方正仿宋_GB2312" w:hAnsi="方正仿宋_GB2312" w:eastAsia="方正仿宋_GB2312" w:cs="方正仿宋_GB2312"/>
          <w:sz w:val="30"/>
          <w:szCs w:val="30"/>
        </w:rPr>
        <w:t>消毒供应中心、学术大厅（大会议室）</w:t>
      </w:r>
    </w:p>
    <w:p w14:paraId="1632979C">
      <w:pPr>
        <w:ind w:firstLine="602"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sz w:val="30"/>
          <w:szCs w:val="30"/>
        </w:rPr>
        <w:t>2.二层：</w:t>
      </w:r>
      <w:r>
        <w:rPr>
          <w:rFonts w:hint="eastAsia" w:ascii="方正仿宋_GB2312" w:hAnsi="方正仿宋_GB2312" w:eastAsia="方正仿宋_GB2312" w:cs="方正仿宋_GB2312"/>
          <w:sz w:val="30"/>
          <w:szCs w:val="30"/>
        </w:rPr>
        <w:t>行政办公区、食堂</w:t>
      </w:r>
    </w:p>
    <w:p w14:paraId="2DEEFA34">
      <w:pPr>
        <w:ind w:firstLine="602" w:firstLineChars="200"/>
        <w:rPr>
          <w:rFonts w:hint="eastAsia" w:ascii="方正仿宋_GB2312" w:hAnsi="方正仿宋_GB2312" w:eastAsia="方正仿宋_GB2312" w:cs="方正仿宋_GB2312"/>
          <w:b/>
          <w:sz w:val="30"/>
          <w:szCs w:val="30"/>
        </w:rPr>
      </w:pPr>
      <w:r>
        <w:rPr>
          <w:rFonts w:hint="eastAsia" w:ascii="方正仿宋_GB2312" w:hAnsi="方正仿宋_GB2312" w:eastAsia="方正仿宋_GB2312" w:cs="方正仿宋_GB2312"/>
          <w:b/>
          <w:sz w:val="30"/>
          <w:szCs w:val="30"/>
        </w:rPr>
        <w:t>（三）其他功能配套区及需求</w:t>
      </w:r>
    </w:p>
    <w:p w14:paraId="44015EE7">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1.后勤保障：中心供氧站、物流机房、污水处理站、生活垃圾暂存间、医疗废物暂存间、陪护住宿、消防站及警务室等，可利用底楼公共区域。</w:t>
      </w:r>
    </w:p>
    <w:p w14:paraId="03A29EBC">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2.业务管理：中小会议室，利用各楼层剩余地方。</w:t>
      </w:r>
    </w:p>
    <w:p w14:paraId="10B04B78">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3.发热门诊及病案室：可暂时利用原院区部分房屋，以后根据业务发展需要使用主厂房西侧房屋。</w:t>
      </w:r>
    </w:p>
    <w:p w14:paraId="564C04C6">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四、设计依据及部分参数要求</w:t>
      </w:r>
    </w:p>
    <w:p w14:paraId="3D5FF307">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1.主要参照《中医医院建设标准》（建标〔2021〕84号）。执行国家无障碍设计相关标准，并符合消防、安全保卫、应急疏散等功能要求。大型设备机房面积参照《综合医院建筑标准》（建标〔2021〕110号）设计。</w:t>
      </w:r>
    </w:p>
    <w:p w14:paraId="24FB17E1">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2.</w:t>
      </w:r>
      <w:r>
        <w:rPr>
          <w:rFonts w:hint="eastAsia" w:ascii="方正仿宋_GB2312" w:hAnsi="方正仿宋_GB2312" w:eastAsia="方正仿宋_GB2312" w:cs="方正仿宋_GB2312"/>
          <w:bCs/>
          <w:sz w:val="30"/>
          <w:szCs w:val="30"/>
        </w:rPr>
        <w:t>参照《</w:t>
      </w:r>
      <w:r>
        <w:rPr>
          <w:rFonts w:hint="eastAsia" w:ascii="方正仿宋_GB2312" w:hAnsi="方正仿宋_GB2312" w:eastAsia="方正仿宋_GB2312" w:cs="方正仿宋_GB2312"/>
          <w:sz w:val="30"/>
          <w:szCs w:val="30"/>
        </w:rPr>
        <w:t>全国医院信息化建设标准与规范（试行）》</w:t>
      </w:r>
      <w:r>
        <w:rPr>
          <w:rFonts w:hint="eastAsia" w:ascii="方正仿宋_GB2312" w:hAnsi="方正仿宋_GB2312" w:eastAsia="方正仿宋_GB2312" w:cs="方正仿宋_GB2312"/>
          <w:bCs/>
          <w:sz w:val="30"/>
          <w:szCs w:val="30"/>
        </w:rPr>
        <w:t>《医院智慧管理分级评估标准体系（试行）》</w:t>
      </w:r>
      <w:r>
        <w:rPr>
          <w:rFonts w:hint="eastAsia" w:ascii="方正仿宋_GB2312" w:hAnsi="方正仿宋_GB2312" w:eastAsia="方正仿宋_GB2312" w:cs="方正仿宋_GB2312"/>
          <w:sz w:val="30"/>
          <w:szCs w:val="30"/>
        </w:rPr>
        <w:t>等要求预留管线。</w:t>
      </w:r>
    </w:p>
    <w:p w14:paraId="4FCFDF64">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3.检验科与急诊科、ICU、手术室建立气动物流传输系统。</w:t>
      </w:r>
    </w:p>
    <w:p w14:paraId="74B9D232">
      <w:pPr>
        <w:ind w:firstLine="600" w:firstLineChars="200"/>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sz w:val="30"/>
          <w:szCs w:val="30"/>
        </w:rPr>
        <w:t>4.全院建立轨道物流系统。</w:t>
      </w:r>
    </w:p>
    <w:p w14:paraId="01FEF95E">
      <w:pPr>
        <w:rPr>
          <w:rFonts w:hint="eastAsia" w:ascii="方正仿宋_GB2312" w:hAnsi="方正仿宋_GB2312" w:eastAsia="方正仿宋_GB2312" w:cs="方正仿宋_GB2312"/>
          <w:sz w:val="30"/>
          <w:szCs w:val="30"/>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华文行楷">
    <w:panose1 w:val="02010800040101010101"/>
    <w:charset w:val="86"/>
    <w:family w:val="auto"/>
    <w:pitch w:val="default"/>
    <w:sig w:usb0="00000001" w:usb1="080F0000" w:usb2="00000000" w:usb3="00000000" w:csb0="00040000" w:csb1="00000000"/>
  </w:font>
  <w:font w:name="Batang">
    <w:panose1 w:val="02030600000101010101"/>
    <w:charset w:val="81"/>
    <w:family w:val="auto"/>
    <w:pitch w:val="default"/>
    <w:sig w:usb0="B00002AF" w:usb1="69D77CFB" w:usb2="00000030" w:usb3="00000000" w:csb0="4008009F" w:csb1="DFD70000"/>
  </w:font>
  <w:font w:name="华文仿宋">
    <w:panose1 w:val="02010600040101010101"/>
    <w:charset w:val="86"/>
    <w:family w:val="auto"/>
    <w:pitch w:val="default"/>
    <w:sig w:usb0="00000287" w:usb1="080F0000" w:usb2="00000000" w:usb3="00000000" w:csb0="0004009F" w:csb1="DFD70000"/>
  </w:font>
  <w:font w:name="方正仿宋_GB2312">
    <w:panose1 w:val="02000000000000000000"/>
    <w:charset w:val="86"/>
    <w:family w:val="auto"/>
    <w:pitch w:val="default"/>
    <w:sig w:usb0="A00002BF" w:usb1="184F6CFA" w:usb2="00000012"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BFE54">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406344"/>
    <w:multiLevelType w:val="multilevel"/>
    <w:tmpl w:val="33406344"/>
    <w:lvl w:ilvl="0" w:tentative="0">
      <w:start w:val="1"/>
      <w:numFmt w:val="decimal"/>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dlNWJmYTM4MWViNTBkMzAyOWM0NDdlZWNmMTBhYTAifQ=="/>
  </w:docVars>
  <w:rsids>
    <w:rsidRoot w:val="00424112"/>
    <w:rsid w:val="00001F4E"/>
    <w:rsid w:val="00005972"/>
    <w:rsid w:val="00013A49"/>
    <w:rsid w:val="000223DE"/>
    <w:rsid w:val="00024136"/>
    <w:rsid w:val="00037688"/>
    <w:rsid w:val="00043B15"/>
    <w:rsid w:val="0004467E"/>
    <w:rsid w:val="00045173"/>
    <w:rsid w:val="0004768E"/>
    <w:rsid w:val="00047D7E"/>
    <w:rsid w:val="00057174"/>
    <w:rsid w:val="0007298D"/>
    <w:rsid w:val="0007496C"/>
    <w:rsid w:val="00076BCA"/>
    <w:rsid w:val="00090571"/>
    <w:rsid w:val="000B20B7"/>
    <w:rsid w:val="000B5C51"/>
    <w:rsid w:val="000B7F49"/>
    <w:rsid w:val="000C22CF"/>
    <w:rsid w:val="000C3A96"/>
    <w:rsid w:val="000C5732"/>
    <w:rsid w:val="000D7284"/>
    <w:rsid w:val="000E44A9"/>
    <w:rsid w:val="000E7752"/>
    <w:rsid w:val="000F441E"/>
    <w:rsid w:val="00111578"/>
    <w:rsid w:val="001122DE"/>
    <w:rsid w:val="00113D64"/>
    <w:rsid w:val="00120FB0"/>
    <w:rsid w:val="001212E9"/>
    <w:rsid w:val="0012175A"/>
    <w:rsid w:val="00126E53"/>
    <w:rsid w:val="00132F47"/>
    <w:rsid w:val="00141A9F"/>
    <w:rsid w:val="00142161"/>
    <w:rsid w:val="0014489D"/>
    <w:rsid w:val="00147B86"/>
    <w:rsid w:val="00147EA1"/>
    <w:rsid w:val="00153806"/>
    <w:rsid w:val="00156D79"/>
    <w:rsid w:val="00164904"/>
    <w:rsid w:val="00167026"/>
    <w:rsid w:val="001700AE"/>
    <w:rsid w:val="00174FDD"/>
    <w:rsid w:val="001907E1"/>
    <w:rsid w:val="00195653"/>
    <w:rsid w:val="00196FC2"/>
    <w:rsid w:val="00197331"/>
    <w:rsid w:val="0019754F"/>
    <w:rsid w:val="001A0988"/>
    <w:rsid w:val="001B0F74"/>
    <w:rsid w:val="001B1BB9"/>
    <w:rsid w:val="001B48C3"/>
    <w:rsid w:val="001C16A3"/>
    <w:rsid w:val="001D6370"/>
    <w:rsid w:val="001D6B50"/>
    <w:rsid w:val="001E337D"/>
    <w:rsid w:val="001F2B82"/>
    <w:rsid w:val="00204030"/>
    <w:rsid w:val="002042E5"/>
    <w:rsid w:val="00205805"/>
    <w:rsid w:val="002127E5"/>
    <w:rsid w:val="002131F5"/>
    <w:rsid w:val="00241133"/>
    <w:rsid w:val="00243F02"/>
    <w:rsid w:val="002507C6"/>
    <w:rsid w:val="002619BD"/>
    <w:rsid w:val="0027330F"/>
    <w:rsid w:val="002760FA"/>
    <w:rsid w:val="00277020"/>
    <w:rsid w:val="00280575"/>
    <w:rsid w:val="00280BB9"/>
    <w:rsid w:val="002842F5"/>
    <w:rsid w:val="00286F36"/>
    <w:rsid w:val="00290D51"/>
    <w:rsid w:val="00291D0C"/>
    <w:rsid w:val="002920CB"/>
    <w:rsid w:val="00295FFD"/>
    <w:rsid w:val="002A2E6E"/>
    <w:rsid w:val="002A6B73"/>
    <w:rsid w:val="002A6D02"/>
    <w:rsid w:val="002A7C4A"/>
    <w:rsid w:val="002C032C"/>
    <w:rsid w:val="002D5F46"/>
    <w:rsid w:val="002E5036"/>
    <w:rsid w:val="002E5DE8"/>
    <w:rsid w:val="002E69C3"/>
    <w:rsid w:val="002F379B"/>
    <w:rsid w:val="002F5507"/>
    <w:rsid w:val="002F65DD"/>
    <w:rsid w:val="002F73AE"/>
    <w:rsid w:val="003024F9"/>
    <w:rsid w:val="003026BF"/>
    <w:rsid w:val="00305AEE"/>
    <w:rsid w:val="00310DD6"/>
    <w:rsid w:val="00312224"/>
    <w:rsid w:val="003175C0"/>
    <w:rsid w:val="003209F3"/>
    <w:rsid w:val="003216A8"/>
    <w:rsid w:val="0032181C"/>
    <w:rsid w:val="00335EED"/>
    <w:rsid w:val="00357A61"/>
    <w:rsid w:val="0036257D"/>
    <w:rsid w:val="00362613"/>
    <w:rsid w:val="00362C09"/>
    <w:rsid w:val="00363FF7"/>
    <w:rsid w:val="0036497B"/>
    <w:rsid w:val="003661FE"/>
    <w:rsid w:val="00381933"/>
    <w:rsid w:val="003831DB"/>
    <w:rsid w:val="00387691"/>
    <w:rsid w:val="003957B8"/>
    <w:rsid w:val="003960E8"/>
    <w:rsid w:val="00397E99"/>
    <w:rsid w:val="003A17E9"/>
    <w:rsid w:val="003A1903"/>
    <w:rsid w:val="003A27E1"/>
    <w:rsid w:val="003A30AC"/>
    <w:rsid w:val="003A456A"/>
    <w:rsid w:val="003B6267"/>
    <w:rsid w:val="003C4D80"/>
    <w:rsid w:val="003C688E"/>
    <w:rsid w:val="003D12F3"/>
    <w:rsid w:val="003E36BA"/>
    <w:rsid w:val="003E7A37"/>
    <w:rsid w:val="003F3B00"/>
    <w:rsid w:val="003F58F5"/>
    <w:rsid w:val="00402FBB"/>
    <w:rsid w:val="004128DE"/>
    <w:rsid w:val="00420563"/>
    <w:rsid w:val="00424112"/>
    <w:rsid w:val="00426202"/>
    <w:rsid w:val="004262F0"/>
    <w:rsid w:val="00426DA3"/>
    <w:rsid w:val="004414FE"/>
    <w:rsid w:val="00452E33"/>
    <w:rsid w:val="00461355"/>
    <w:rsid w:val="00463992"/>
    <w:rsid w:val="00463DA9"/>
    <w:rsid w:val="004646FF"/>
    <w:rsid w:val="00466591"/>
    <w:rsid w:val="004764EA"/>
    <w:rsid w:val="00476D77"/>
    <w:rsid w:val="00482963"/>
    <w:rsid w:val="00486821"/>
    <w:rsid w:val="00486C4A"/>
    <w:rsid w:val="00494CB2"/>
    <w:rsid w:val="00496571"/>
    <w:rsid w:val="004A0DDE"/>
    <w:rsid w:val="004A386E"/>
    <w:rsid w:val="004A483D"/>
    <w:rsid w:val="004A5BA8"/>
    <w:rsid w:val="004A675B"/>
    <w:rsid w:val="004C24FD"/>
    <w:rsid w:val="004C68D8"/>
    <w:rsid w:val="004D0090"/>
    <w:rsid w:val="004D0C42"/>
    <w:rsid w:val="004D1951"/>
    <w:rsid w:val="004D607E"/>
    <w:rsid w:val="004E23CB"/>
    <w:rsid w:val="004E6700"/>
    <w:rsid w:val="004F0DA2"/>
    <w:rsid w:val="004F0E0A"/>
    <w:rsid w:val="004F676E"/>
    <w:rsid w:val="004F70FC"/>
    <w:rsid w:val="00502316"/>
    <w:rsid w:val="005031CA"/>
    <w:rsid w:val="005143F4"/>
    <w:rsid w:val="0052050B"/>
    <w:rsid w:val="00531DDD"/>
    <w:rsid w:val="00535EF9"/>
    <w:rsid w:val="00536648"/>
    <w:rsid w:val="005512EF"/>
    <w:rsid w:val="0055134C"/>
    <w:rsid w:val="00553B17"/>
    <w:rsid w:val="00556C0B"/>
    <w:rsid w:val="00570A13"/>
    <w:rsid w:val="005750B0"/>
    <w:rsid w:val="005802F5"/>
    <w:rsid w:val="00582BB1"/>
    <w:rsid w:val="0058493B"/>
    <w:rsid w:val="00584D95"/>
    <w:rsid w:val="00585D8C"/>
    <w:rsid w:val="00591005"/>
    <w:rsid w:val="00596D35"/>
    <w:rsid w:val="005A24CD"/>
    <w:rsid w:val="005A265E"/>
    <w:rsid w:val="005A58A9"/>
    <w:rsid w:val="005B31C8"/>
    <w:rsid w:val="005B5AF2"/>
    <w:rsid w:val="005C4B47"/>
    <w:rsid w:val="005D4BAB"/>
    <w:rsid w:val="005E0AE8"/>
    <w:rsid w:val="005E30A7"/>
    <w:rsid w:val="005E57AA"/>
    <w:rsid w:val="005F503A"/>
    <w:rsid w:val="005F5A08"/>
    <w:rsid w:val="006062AA"/>
    <w:rsid w:val="00606D0C"/>
    <w:rsid w:val="00606D71"/>
    <w:rsid w:val="0060769F"/>
    <w:rsid w:val="0061302E"/>
    <w:rsid w:val="00621E16"/>
    <w:rsid w:val="00623731"/>
    <w:rsid w:val="00625DD1"/>
    <w:rsid w:val="006318FA"/>
    <w:rsid w:val="006363D6"/>
    <w:rsid w:val="006422AA"/>
    <w:rsid w:val="00646EA3"/>
    <w:rsid w:val="00652014"/>
    <w:rsid w:val="00653502"/>
    <w:rsid w:val="00666B34"/>
    <w:rsid w:val="00670B0E"/>
    <w:rsid w:val="00674688"/>
    <w:rsid w:val="00677F2F"/>
    <w:rsid w:val="00683662"/>
    <w:rsid w:val="00686B09"/>
    <w:rsid w:val="0069279A"/>
    <w:rsid w:val="00697E13"/>
    <w:rsid w:val="006A0B8B"/>
    <w:rsid w:val="006B100F"/>
    <w:rsid w:val="006B244B"/>
    <w:rsid w:val="006B2EF6"/>
    <w:rsid w:val="006B4CCC"/>
    <w:rsid w:val="006B7D13"/>
    <w:rsid w:val="006C0525"/>
    <w:rsid w:val="006C3F73"/>
    <w:rsid w:val="006C5ABC"/>
    <w:rsid w:val="006D5321"/>
    <w:rsid w:val="006E5BB1"/>
    <w:rsid w:val="006F08B0"/>
    <w:rsid w:val="00705B1B"/>
    <w:rsid w:val="00707F1B"/>
    <w:rsid w:val="00724A2C"/>
    <w:rsid w:val="007367CD"/>
    <w:rsid w:val="0074145D"/>
    <w:rsid w:val="00742257"/>
    <w:rsid w:val="00743108"/>
    <w:rsid w:val="00746120"/>
    <w:rsid w:val="007610ED"/>
    <w:rsid w:val="00764976"/>
    <w:rsid w:val="00766C8A"/>
    <w:rsid w:val="00782FB6"/>
    <w:rsid w:val="00786B97"/>
    <w:rsid w:val="00791B61"/>
    <w:rsid w:val="0079641B"/>
    <w:rsid w:val="007A210F"/>
    <w:rsid w:val="007A4E73"/>
    <w:rsid w:val="007B07A5"/>
    <w:rsid w:val="007B519E"/>
    <w:rsid w:val="007B5EEE"/>
    <w:rsid w:val="007B6B1B"/>
    <w:rsid w:val="007B6CB3"/>
    <w:rsid w:val="007C3404"/>
    <w:rsid w:val="007D1C57"/>
    <w:rsid w:val="007D26D3"/>
    <w:rsid w:val="007D7474"/>
    <w:rsid w:val="007E544D"/>
    <w:rsid w:val="007E78AF"/>
    <w:rsid w:val="007F3F4B"/>
    <w:rsid w:val="007F47BA"/>
    <w:rsid w:val="007F5BC9"/>
    <w:rsid w:val="00800B12"/>
    <w:rsid w:val="00802638"/>
    <w:rsid w:val="00802FA2"/>
    <w:rsid w:val="00810054"/>
    <w:rsid w:val="008107A8"/>
    <w:rsid w:val="008212EF"/>
    <w:rsid w:val="00823BD2"/>
    <w:rsid w:val="00823C38"/>
    <w:rsid w:val="00826E18"/>
    <w:rsid w:val="008315D8"/>
    <w:rsid w:val="00831871"/>
    <w:rsid w:val="00840E58"/>
    <w:rsid w:val="0085643E"/>
    <w:rsid w:val="00857932"/>
    <w:rsid w:val="00865834"/>
    <w:rsid w:val="00866940"/>
    <w:rsid w:val="008672D3"/>
    <w:rsid w:val="00872479"/>
    <w:rsid w:val="00873493"/>
    <w:rsid w:val="00887120"/>
    <w:rsid w:val="00891170"/>
    <w:rsid w:val="00893487"/>
    <w:rsid w:val="008949ED"/>
    <w:rsid w:val="008B0016"/>
    <w:rsid w:val="008B0886"/>
    <w:rsid w:val="008D0E38"/>
    <w:rsid w:val="008D5B3E"/>
    <w:rsid w:val="008F492A"/>
    <w:rsid w:val="00902DCB"/>
    <w:rsid w:val="009039A3"/>
    <w:rsid w:val="00910637"/>
    <w:rsid w:val="00910EE4"/>
    <w:rsid w:val="00921788"/>
    <w:rsid w:val="00922132"/>
    <w:rsid w:val="00926F67"/>
    <w:rsid w:val="0092703C"/>
    <w:rsid w:val="009312BF"/>
    <w:rsid w:val="0093641E"/>
    <w:rsid w:val="00940120"/>
    <w:rsid w:val="009517AB"/>
    <w:rsid w:val="00952CEF"/>
    <w:rsid w:val="00961285"/>
    <w:rsid w:val="00961ADB"/>
    <w:rsid w:val="0096439C"/>
    <w:rsid w:val="00964AEF"/>
    <w:rsid w:val="009739D5"/>
    <w:rsid w:val="009821DE"/>
    <w:rsid w:val="00991498"/>
    <w:rsid w:val="00992056"/>
    <w:rsid w:val="00993386"/>
    <w:rsid w:val="00994EFB"/>
    <w:rsid w:val="009A416A"/>
    <w:rsid w:val="009B278B"/>
    <w:rsid w:val="009C050D"/>
    <w:rsid w:val="009C2E42"/>
    <w:rsid w:val="009C4E28"/>
    <w:rsid w:val="009C6337"/>
    <w:rsid w:val="009D6A8C"/>
    <w:rsid w:val="009D6BCB"/>
    <w:rsid w:val="009E26B4"/>
    <w:rsid w:val="009E5711"/>
    <w:rsid w:val="009E6421"/>
    <w:rsid w:val="009F5B52"/>
    <w:rsid w:val="00A02042"/>
    <w:rsid w:val="00A07897"/>
    <w:rsid w:val="00A120A7"/>
    <w:rsid w:val="00A128B9"/>
    <w:rsid w:val="00A26EFB"/>
    <w:rsid w:val="00A32029"/>
    <w:rsid w:val="00A40639"/>
    <w:rsid w:val="00A44885"/>
    <w:rsid w:val="00A46ACD"/>
    <w:rsid w:val="00A5304D"/>
    <w:rsid w:val="00A56799"/>
    <w:rsid w:val="00A66FC7"/>
    <w:rsid w:val="00A7180D"/>
    <w:rsid w:val="00A75ABD"/>
    <w:rsid w:val="00A80CB7"/>
    <w:rsid w:val="00A8485F"/>
    <w:rsid w:val="00AB0601"/>
    <w:rsid w:val="00AB2124"/>
    <w:rsid w:val="00AB4C83"/>
    <w:rsid w:val="00AC6550"/>
    <w:rsid w:val="00AD58C3"/>
    <w:rsid w:val="00AE333E"/>
    <w:rsid w:val="00AE4597"/>
    <w:rsid w:val="00AE477E"/>
    <w:rsid w:val="00AE6CBA"/>
    <w:rsid w:val="00AF1BF2"/>
    <w:rsid w:val="00B0084C"/>
    <w:rsid w:val="00B01EFA"/>
    <w:rsid w:val="00B157EA"/>
    <w:rsid w:val="00B27A53"/>
    <w:rsid w:val="00B34F79"/>
    <w:rsid w:val="00B36255"/>
    <w:rsid w:val="00B42DF6"/>
    <w:rsid w:val="00B44EA9"/>
    <w:rsid w:val="00B55546"/>
    <w:rsid w:val="00B562C2"/>
    <w:rsid w:val="00B57D55"/>
    <w:rsid w:val="00B6373A"/>
    <w:rsid w:val="00B66F58"/>
    <w:rsid w:val="00B70C27"/>
    <w:rsid w:val="00B725B5"/>
    <w:rsid w:val="00B72E18"/>
    <w:rsid w:val="00B77EE3"/>
    <w:rsid w:val="00B8701E"/>
    <w:rsid w:val="00BA6803"/>
    <w:rsid w:val="00BB16B8"/>
    <w:rsid w:val="00BB2135"/>
    <w:rsid w:val="00BB5EBE"/>
    <w:rsid w:val="00BC07A2"/>
    <w:rsid w:val="00BC0F36"/>
    <w:rsid w:val="00BC7E50"/>
    <w:rsid w:val="00BD28A3"/>
    <w:rsid w:val="00BE5BEA"/>
    <w:rsid w:val="00BF1903"/>
    <w:rsid w:val="00BF3B03"/>
    <w:rsid w:val="00BF419E"/>
    <w:rsid w:val="00BF4C63"/>
    <w:rsid w:val="00C0300A"/>
    <w:rsid w:val="00C0628B"/>
    <w:rsid w:val="00C06ABD"/>
    <w:rsid w:val="00C07E5B"/>
    <w:rsid w:val="00C144B4"/>
    <w:rsid w:val="00C210F6"/>
    <w:rsid w:val="00C22340"/>
    <w:rsid w:val="00C2603A"/>
    <w:rsid w:val="00C326BC"/>
    <w:rsid w:val="00C33AA1"/>
    <w:rsid w:val="00C340BB"/>
    <w:rsid w:val="00C408F2"/>
    <w:rsid w:val="00C45790"/>
    <w:rsid w:val="00C62648"/>
    <w:rsid w:val="00C62BB6"/>
    <w:rsid w:val="00C65ADA"/>
    <w:rsid w:val="00C6604A"/>
    <w:rsid w:val="00C66723"/>
    <w:rsid w:val="00C671A1"/>
    <w:rsid w:val="00C755B3"/>
    <w:rsid w:val="00C75E92"/>
    <w:rsid w:val="00C80723"/>
    <w:rsid w:val="00C820E3"/>
    <w:rsid w:val="00C83A60"/>
    <w:rsid w:val="00C90822"/>
    <w:rsid w:val="00C92E85"/>
    <w:rsid w:val="00C97ECA"/>
    <w:rsid w:val="00CA5DD0"/>
    <w:rsid w:val="00CA6941"/>
    <w:rsid w:val="00CB1615"/>
    <w:rsid w:val="00CB1B90"/>
    <w:rsid w:val="00CB6C7A"/>
    <w:rsid w:val="00CC1C5B"/>
    <w:rsid w:val="00CD4572"/>
    <w:rsid w:val="00CD53BE"/>
    <w:rsid w:val="00CD6DB2"/>
    <w:rsid w:val="00CD7044"/>
    <w:rsid w:val="00CF07C2"/>
    <w:rsid w:val="00CF3FCA"/>
    <w:rsid w:val="00CF47D8"/>
    <w:rsid w:val="00CF6A55"/>
    <w:rsid w:val="00D017E7"/>
    <w:rsid w:val="00D11C97"/>
    <w:rsid w:val="00D13F99"/>
    <w:rsid w:val="00D30CA8"/>
    <w:rsid w:val="00D34EEE"/>
    <w:rsid w:val="00D44B3B"/>
    <w:rsid w:val="00D4514E"/>
    <w:rsid w:val="00D51159"/>
    <w:rsid w:val="00D52539"/>
    <w:rsid w:val="00D56221"/>
    <w:rsid w:val="00D60D3F"/>
    <w:rsid w:val="00D70608"/>
    <w:rsid w:val="00D73502"/>
    <w:rsid w:val="00D80F15"/>
    <w:rsid w:val="00D816E8"/>
    <w:rsid w:val="00D96B11"/>
    <w:rsid w:val="00DA6083"/>
    <w:rsid w:val="00DB2754"/>
    <w:rsid w:val="00DB43A4"/>
    <w:rsid w:val="00DC1A87"/>
    <w:rsid w:val="00DC43D1"/>
    <w:rsid w:val="00DD2DDB"/>
    <w:rsid w:val="00DD5D3C"/>
    <w:rsid w:val="00DE00F3"/>
    <w:rsid w:val="00DE046C"/>
    <w:rsid w:val="00DE0DB1"/>
    <w:rsid w:val="00DE5958"/>
    <w:rsid w:val="00DE59AB"/>
    <w:rsid w:val="00DF13E8"/>
    <w:rsid w:val="00DF203D"/>
    <w:rsid w:val="00DF3FBC"/>
    <w:rsid w:val="00E13E27"/>
    <w:rsid w:val="00E15AFF"/>
    <w:rsid w:val="00E1601C"/>
    <w:rsid w:val="00E20C5B"/>
    <w:rsid w:val="00E23824"/>
    <w:rsid w:val="00E24422"/>
    <w:rsid w:val="00E350CF"/>
    <w:rsid w:val="00E4264A"/>
    <w:rsid w:val="00E53741"/>
    <w:rsid w:val="00E5413D"/>
    <w:rsid w:val="00E56794"/>
    <w:rsid w:val="00E56E2C"/>
    <w:rsid w:val="00E56FDA"/>
    <w:rsid w:val="00E703BF"/>
    <w:rsid w:val="00E7119E"/>
    <w:rsid w:val="00E7428D"/>
    <w:rsid w:val="00E74315"/>
    <w:rsid w:val="00E755A5"/>
    <w:rsid w:val="00E80FB6"/>
    <w:rsid w:val="00E9028B"/>
    <w:rsid w:val="00E91010"/>
    <w:rsid w:val="00E9413B"/>
    <w:rsid w:val="00E952F7"/>
    <w:rsid w:val="00E979FF"/>
    <w:rsid w:val="00E97D74"/>
    <w:rsid w:val="00EA34A3"/>
    <w:rsid w:val="00EA4BF1"/>
    <w:rsid w:val="00EB1E0B"/>
    <w:rsid w:val="00EC0327"/>
    <w:rsid w:val="00EC0437"/>
    <w:rsid w:val="00EC16D0"/>
    <w:rsid w:val="00EC4905"/>
    <w:rsid w:val="00EC5154"/>
    <w:rsid w:val="00ED15EB"/>
    <w:rsid w:val="00ED25B6"/>
    <w:rsid w:val="00EE0C09"/>
    <w:rsid w:val="00EF0A1A"/>
    <w:rsid w:val="00EF13E1"/>
    <w:rsid w:val="00EF5502"/>
    <w:rsid w:val="00EF7345"/>
    <w:rsid w:val="00F034A5"/>
    <w:rsid w:val="00F0760E"/>
    <w:rsid w:val="00F07AE2"/>
    <w:rsid w:val="00F12043"/>
    <w:rsid w:val="00F13F4F"/>
    <w:rsid w:val="00F16633"/>
    <w:rsid w:val="00F32025"/>
    <w:rsid w:val="00F33FD0"/>
    <w:rsid w:val="00F35368"/>
    <w:rsid w:val="00F36B06"/>
    <w:rsid w:val="00F37C37"/>
    <w:rsid w:val="00F4036A"/>
    <w:rsid w:val="00F411AD"/>
    <w:rsid w:val="00F430B1"/>
    <w:rsid w:val="00F560E2"/>
    <w:rsid w:val="00F5783B"/>
    <w:rsid w:val="00F57FA4"/>
    <w:rsid w:val="00F633EC"/>
    <w:rsid w:val="00F81C11"/>
    <w:rsid w:val="00F93F99"/>
    <w:rsid w:val="00F97FD0"/>
    <w:rsid w:val="00FA3BB2"/>
    <w:rsid w:val="00FA3C91"/>
    <w:rsid w:val="00FB6FBB"/>
    <w:rsid w:val="00FC6D13"/>
    <w:rsid w:val="00FD5FC4"/>
    <w:rsid w:val="00FE02C3"/>
    <w:rsid w:val="00FE2F7D"/>
    <w:rsid w:val="00FF5868"/>
    <w:rsid w:val="08E93595"/>
    <w:rsid w:val="0A835A33"/>
    <w:rsid w:val="0ABC1138"/>
    <w:rsid w:val="0B9B79B6"/>
    <w:rsid w:val="0CAA4672"/>
    <w:rsid w:val="0E725814"/>
    <w:rsid w:val="10D34B62"/>
    <w:rsid w:val="10E15E2F"/>
    <w:rsid w:val="11713EA4"/>
    <w:rsid w:val="14E21050"/>
    <w:rsid w:val="157B2FA4"/>
    <w:rsid w:val="157B7247"/>
    <w:rsid w:val="1734266D"/>
    <w:rsid w:val="181A13D3"/>
    <w:rsid w:val="1A1E7107"/>
    <w:rsid w:val="1CED1FDF"/>
    <w:rsid w:val="1DD44A27"/>
    <w:rsid w:val="1E805C34"/>
    <w:rsid w:val="1EB763D4"/>
    <w:rsid w:val="1F2B43A2"/>
    <w:rsid w:val="2032034F"/>
    <w:rsid w:val="23BB596C"/>
    <w:rsid w:val="24A218F0"/>
    <w:rsid w:val="26124578"/>
    <w:rsid w:val="27472987"/>
    <w:rsid w:val="27870826"/>
    <w:rsid w:val="287A2845"/>
    <w:rsid w:val="2CA64CAD"/>
    <w:rsid w:val="2E3B5277"/>
    <w:rsid w:val="328A5F53"/>
    <w:rsid w:val="344F1ED9"/>
    <w:rsid w:val="34F8431E"/>
    <w:rsid w:val="36CB535B"/>
    <w:rsid w:val="370318C7"/>
    <w:rsid w:val="37413ABD"/>
    <w:rsid w:val="38FF3F16"/>
    <w:rsid w:val="391C12BB"/>
    <w:rsid w:val="3B3226E7"/>
    <w:rsid w:val="3EC70F45"/>
    <w:rsid w:val="3EFD55BE"/>
    <w:rsid w:val="3F724E63"/>
    <w:rsid w:val="41313AD6"/>
    <w:rsid w:val="462B786A"/>
    <w:rsid w:val="4A474538"/>
    <w:rsid w:val="4AA7104D"/>
    <w:rsid w:val="4B2D30CB"/>
    <w:rsid w:val="4B421ECE"/>
    <w:rsid w:val="4D2543F3"/>
    <w:rsid w:val="4D686F33"/>
    <w:rsid w:val="4EC0254B"/>
    <w:rsid w:val="4FD203A8"/>
    <w:rsid w:val="53043E7C"/>
    <w:rsid w:val="56F52014"/>
    <w:rsid w:val="5BA24899"/>
    <w:rsid w:val="5D7830AE"/>
    <w:rsid w:val="5EE4753E"/>
    <w:rsid w:val="5FA20179"/>
    <w:rsid w:val="652F2678"/>
    <w:rsid w:val="660B715E"/>
    <w:rsid w:val="68196D9E"/>
    <w:rsid w:val="6FB2499C"/>
    <w:rsid w:val="710A4D37"/>
    <w:rsid w:val="711F23A8"/>
    <w:rsid w:val="723C415D"/>
    <w:rsid w:val="787B2799"/>
    <w:rsid w:val="79AA42C0"/>
    <w:rsid w:val="79F1067A"/>
    <w:rsid w:val="7EC71748"/>
    <w:rsid w:val="7EC83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14"/>
    <w:qFormat/>
    <w:uiPriority w:val="0"/>
    <w:pPr>
      <w:keepNext/>
      <w:keepLines/>
      <w:spacing w:before="260" w:after="260" w:line="413" w:lineRule="auto"/>
      <w:outlineLvl w:val="2"/>
    </w:pPr>
    <w:rPr>
      <w:b/>
      <w:sz w:val="32"/>
      <w:szCs w:val="20"/>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5"/>
    <w:qFormat/>
    <w:uiPriority w:val="0"/>
    <w:pPr>
      <w:jc w:val="left"/>
    </w:pPr>
    <w:rPr>
      <w:rFonts w:asciiTheme="minorHAnsi" w:hAnsiTheme="minorHAnsi" w:eastAsiaTheme="minorEastAsia" w:cstheme="minorBidi"/>
    </w:rPr>
  </w:style>
  <w:style w:type="paragraph" w:styleId="4">
    <w:name w:val="Body Text"/>
    <w:basedOn w:val="1"/>
    <w:link w:val="18"/>
    <w:semiHidden/>
    <w:unhideWhenUsed/>
    <w:qFormat/>
    <w:uiPriority w:val="99"/>
    <w:pPr>
      <w:spacing w:after="120"/>
    </w:pPr>
  </w:style>
  <w:style w:type="paragraph" w:styleId="5">
    <w:name w:val="Date"/>
    <w:basedOn w:val="1"/>
    <w:next w:val="1"/>
    <w:link w:val="20"/>
    <w:qFormat/>
    <w:uiPriority w:val="0"/>
    <w:pPr>
      <w:ind w:left="100" w:leftChars="2500"/>
    </w:pPr>
    <w:rPr>
      <w:sz w:val="20"/>
    </w:rPr>
  </w:style>
  <w:style w:type="paragraph" w:styleId="6">
    <w:name w:val="Balloon Text"/>
    <w:basedOn w:val="1"/>
    <w:link w:val="17"/>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4"/>
    <w:link w:val="19"/>
    <w:unhideWhenUsed/>
    <w:qFormat/>
    <w:uiPriority w:val="0"/>
    <w:pPr>
      <w:ind w:firstLine="420" w:firstLineChars="100"/>
    </w:pPr>
    <w:rPr>
      <w:rFonts w:asciiTheme="minorHAnsi" w:hAnsiTheme="minorHAnsi" w:eastAsiaTheme="minorEastAsia" w:cstheme="minorBidi"/>
      <w:szCs w:val="22"/>
    </w:rPr>
  </w:style>
  <w:style w:type="character" w:customStyle="1" w:styleId="12">
    <w:name w:val="页眉 Char"/>
    <w:basedOn w:val="11"/>
    <w:link w:val="8"/>
    <w:qFormat/>
    <w:uiPriority w:val="0"/>
    <w:rPr>
      <w:rFonts w:ascii="Times New Roman" w:hAnsi="Times New Roman" w:eastAsia="宋体" w:cs="Times New Roman"/>
      <w:sz w:val="18"/>
      <w:szCs w:val="18"/>
    </w:rPr>
  </w:style>
  <w:style w:type="character" w:customStyle="1" w:styleId="13">
    <w:name w:val="页脚 Char"/>
    <w:basedOn w:val="11"/>
    <w:link w:val="7"/>
    <w:qFormat/>
    <w:uiPriority w:val="99"/>
    <w:rPr>
      <w:rFonts w:ascii="Times New Roman" w:hAnsi="Times New Roman" w:eastAsia="宋体" w:cs="Times New Roman"/>
      <w:sz w:val="18"/>
      <w:szCs w:val="18"/>
    </w:rPr>
  </w:style>
  <w:style w:type="character" w:customStyle="1" w:styleId="14">
    <w:name w:val="标题 3 Char1"/>
    <w:basedOn w:val="11"/>
    <w:link w:val="2"/>
    <w:qFormat/>
    <w:uiPriority w:val="0"/>
    <w:rPr>
      <w:rFonts w:ascii="Times New Roman" w:hAnsi="Times New Roman" w:eastAsia="宋体" w:cs="Times New Roman"/>
      <w:b/>
      <w:sz w:val="32"/>
      <w:szCs w:val="20"/>
    </w:rPr>
  </w:style>
  <w:style w:type="character" w:customStyle="1" w:styleId="15">
    <w:name w:val="批注文字 Char"/>
    <w:link w:val="3"/>
    <w:qFormat/>
    <w:uiPriority w:val="0"/>
    <w:rPr>
      <w:szCs w:val="24"/>
    </w:rPr>
  </w:style>
  <w:style w:type="character" w:customStyle="1" w:styleId="16">
    <w:name w:val="批注文字 Char1"/>
    <w:basedOn w:val="11"/>
    <w:semiHidden/>
    <w:qFormat/>
    <w:uiPriority w:val="99"/>
    <w:rPr>
      <w:rFonts w:ascii="Times New Roman" w:hAnsi="Times New Roman" w:eastAsia="宋体" w:cs="Times New Roman"/>
      <w:szCs w:val="24"/>
    </w:rPr>
  </w:style>
  <w:style w:type="character" w:customStyle="1" w:styleId="17">
    <w:name w:val="批注框文本 Char"/>
    <w:basedOn w:val="11"/>
    <w:link w:val="6"/>
    <w:semiHidden/>
    <w:qFormat/>
    <w:uiPriority w:val="99"/>
    <w:rPr>
      <w:rFonts w:ascii="Times New Roman" w:hAnsi="Times New Roman" w:eastAsia="宋体" w:cs="Times New Roman"/>
      <w:sz w:val="18"/>
      <w:szCs w:val="18"/>
    </w:rPr>
  </w:style>
  <w:style w:type="character" w:customStyle="1" w:styleId="18">
    <w:name w:val="正文文本 Char"/>
    <w:basedOn w:val="11"/>
    <w:link w:val="4"/>
    <w:semiHidden/>
    <w:qFormat/>
    <w:uiPriority w:val="99"/>
    <w:rPr>
      <w:rFonts w:ascii="Times New Roman" w:hAnsi="Times New Roman" w:eastAsia="宋体" w:cs="Times New Roman"/>
      <w:szCs w:val="24"/>
    </w:rPr>
  </w:style>
  <w:style w:type="character" w:customStyle="1" w:styleId="19">
    <w:name w:val="正文首行缩进 Char"/>
    <w:basedOn w:val="18"/>
    <w:link w:val="9"/>
    <w:qFormat/>
    <w:uiPriority w:val="0"/>
    <w:rPr>
      <w:rFonts w:ascii="Times New Roman" w:hAnsi="Times New Roman" w:eastAsia="宋体" w:cs="Times New Roman"/>
      <w:szCs w:val="24"/>
    </w:rPr>
  </w:style>
  <w:style w:type="character" w:customStyle="1" w:styleId="20">
    <w:name w:val="日期 Char"/>
    <w:basedOn w:val="11"/>
    <w:link w:val="5"/>
    <w:qFormat/>
    <w:uiPriority w:val="0"/>
    <w:rPr>
      <w:rFonts w:ascii="Times New Roman" w:hAnsi="Times New Roman" w:eastAsia="宋体" w:cs="Times New Roman"/>
      <w:sz w:val="20"/>
      <w:szCs w:val="24"/>
      <w:lang w:val="en-US" w:eastAsia="zh-CN"/>
    </w:rPr>
  </w:style>
  <w:style w:type="character" w:customStyle="1" w:styleId="21">
    <w:name w:val="标题 3 Char"/>
    <w:qFormat/>
    <w:uiPriority w:val="0"/>
    <w:rPr>
      <w:rFonts w:eastAsia="宋体"/>
      <w:b/>
      <w:kern w:val="2"/>
      <w:sz w:val="32"/>
      <w:lang w:val="en-US" w:eastAsia="zh-CN" w:bidi="ar-SA"/>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01313-F224-44C3-9224-A0D752577F04}">
  <ds:schemaRefs/>
</ds:datastoreItem>
</file>

<file path=docProps/app.xml><?xml version="1.0" encoding="utf-8"?>
<Properties xmlns="http://schemas.openxmlformats.org/officeDocument/2006/extended-properties" xmlns:vt="http://schemas.openxmlformats.org/officeDocument/2006/docPropsVTypes">
  <Template>Normal</Template>
  <Company>daohangxitong.com</Company>
  <Pages>31</Pages>
  <Words>6729</Words>
  <Characters>7005</Characters>
  <Lines>120</Lines>
  <Paragraphs>33</Paragraphs>
  <TotalTime>43</TotalTime>
  <ScaleCrop>false</ScaleCrop>
  <LinksUpToDate>false</LinksUpToDate>
  <CharactersWithSpaces>7210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2024-11-25T10:10:00Z</dcterms:created>
  <dc:creator>Windows 用户</dc:creator>
  <cp:lastModifiedBy>甘茂颉</cp:lastModifiedBy>
  <cp:lastPrinted>2021-11-16T01:25:00Z</cp:lastPrinted>
  <dcterms:modified xsi:type="dcterms:W3CDTF">2025-03-10T10:59:47Z</dcterms:modified>
  <cp:revision>191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701FCB797749497D999B546AC9C07FC0_13</vt:lpwstr>
  </property>
  <property fmtid="{D5CDD505-2E9C-101B-9397-08002B2CF9AE}" pid="4" name="KSOTemplateDocerSaveRecord">
    <vt:lpwstr>eyJoZGlkIjoiODQ5MzM1NmI5NjBkNWM0ZDQyMTU3N2E3Y2RiNmYyZmEiLCJ1c2VySWQiOiIxNjcxOTgxOTYyIn0=</vt:lpwstr>
  </property>
</Properties>
</file>